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0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755" cy="682625"/>
                <wp:effectExtent l="19050" t="0" r="0" b="0"/>
                <wp:docPr id="1" name="Рисунок 4" descr="ГербКондинскогоРайо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ГербКондинскогоРайона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7975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6pt;height:53.8pt;mso-wrap-distance-left:0.0pt;mso-wrap-distance-top:0.0pt;mso-wrap-distance-right:0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Кондинский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– Югры</w:t>
      </w:r>
      <w:r/>
    </w:p>
    <w:p>
      <w:r/>
      <w:r/>
    </w:p>
    <w:p>
      <w:r/>
      <w:r/>
    </w:p>
    <w:p>
      <w:pPr>
        <w:pStyle w:val="663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  <w:r/>
    </w:p>
    <w:p>
      <w:pPr>
        <w:shd w:val="clear" w:color="ffffff" w:themeColor="background1" w:fill="ffffff" w:themeFill="background1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ФИНАНСАМ И НАЛОГОВОЙ ПОЛИТИКЕ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4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ПРИКАЗ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36"/>
        <w:gridCol w:w="3054"/>
        <w:gridCol w:w="489"/>
        <w:gridCol w:w="19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6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ноября</w:t>
            </w:r>
            <w:r>
              <w:rPr>
                <w:color w:val="000000"/>
                <w:sz w:val="28"/>
                <w:szCs w:val="28"/>
              </w:rPr>
              <w:t xml:space="preserve">  202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84</w:t>
            </w:r>
            <w:r/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</w:t>
            </w:r>
            <w:r>
              <w:rPr>
                <w:color w:val="000000"/>
                <w:sz w:val="28"/>
                <w:szCs w:val="28"/>
              </w:rPr>
              <w:t xml:space="preserve">. Междуреченский</w:t>
            </w:r>
            <w:r/>
          </w:p>
        </w:tc>
      </w:tr>
    </w:tbl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>
        <w:trPr/>
        <w:tc>
          <w:tcPr>
            <w:tcW w:w="6487" w:type="dxa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еречня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налоговых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/>
          </w:p>
          <w:p>
            <w:pPr>
              <w:pStyle w:val="67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расходов муниципального образования </w:t>
            </w:r>
            <w:r/>
          </w:p>
          <w:p>
            <w:pPr>
              <w:pStyle w:val="67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ондинский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января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</w:t>
            </w:r>
            <w:r/>
          </w:p>
          <w:p>
            <w:pPr>
              <w:pStyle w:val="6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пунктом 1 статьи 174.2 Бюджетного кодекса Российской Федерации,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района от 18 августа 2020 года № 1476 « Об утверждении Порядка формирования перечня налоговых расходов муниципального образования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приказываю</w:t>
      </w:r>
      <w:r>
        <w:rPr>
          <w:bCs/>
          <w:sz w:val="28"/>
          <w:szCs w:val="28"/>
        </w:rPr>
        <w:t xml:space="preserve">:</w:t>
      </w:r>
      <w:r/>
    </w:p>
    <w:p>
      <w:pPr>
        <w:pStyle w:val="676"/>
        <w:numPr>
          <w:ilvl w:val="0"/>
          <w:numId w:val="1"/>
        </w:numPr>
        <w:ind w:left="0" w:firstLine="709"/>
        <w:jc w:val="both"/>
        <w:keepLines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прилагаемый перечень налоговых расходов муниципального образования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на 1 января 2023 года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 – Перечень)</w:t>
      </w:r>
      <w:r>
        <w:rPr>
          <w:sz w:val="28"/>
          <w:szCs w:val="28"/>
        </w:rPr>
        <w:t xml:space="preserve">.</w:t>
      </w:r>
      <w:r/>
    </w:p>
    <w:p>
      <w:pPr>
        <w:pStyle w:val="676"/>
        <w:numPr>
          <w:ilvl w:val="0"/>
          <w:numId w:val="1"/>
        </w:numPr>
        <w:ind w:left="0" w:firstLine="709"/>
        <w:jc w:val="both"/>
        <w:keepLines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района Ханты-мансийского автономного округа – Югры.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приказа оставляю за собой.</w:t>
      </w:r>
      <w:r/>
    </w:p>
    <w:p>
      <w:pPr>
        <w:pStyle w:val="676"/>
        <w:ind w:left="709"/>
        <w:jc w:val="both"/>
        <w:keepLines/>
        <w:keepNext/>
        <w:spacing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6"/>
        <w:ind w:left="709"/>
        <w:jc w:val="both"/>
        <w:keepLines/>
        <w:keepNext/>
        <w:spacing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spacing w:line="208" w:lineRule="atLeast"/>
        <w:shd w:val="clear" w:color="auto" w:fill="ffffff"/>
        <w:rPr>
          <w:rStyle w:val="680"/>
          <w:sz w:val="28"/>
          <w:szCs w:val="28"/>
        </w:rPr>
      </w:pPr>
      <w:r/>
      <w:bookmarkStart w:id="1" w:name="dst4367"/>
      <w:r/>
      <w:bookmarkEnd w:id="1"/>
      <w:r/>
      <w:r/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1701"/>
        <w:gridCol w:w="2410"/>
      </w:tblGrid>
      <w:tr>
        <w:trPr>
          <w:trHeight w:val="379"/>
        </w:trPr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редседател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комитета по финансам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Г. А. Мостовых</w:t>
            </w:r>
            <w:r/>
          </w:p>
        </w:tc>
      </w:tr>
    </w:tbl>
    <w:p>
      <w:pPr>
        <w:shd w:val="nil" w:color="000000"/>
        <w:rPr>
          <w:rStyle w:val="680"/>
          <w:sz w:val="28"/>
          <w:szCs w:val="28"/>
          <w:highlight w:val="none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Style w:val="680"/>
          <w:sz w:val="28"/>
          <w:szCs w:val="28"/>
          <w:highlight w:val="none"/>
        </w:rPr>
      </w:r>
      <w:r>
        <w:rPr>
          <w:rStyle w:val="680"/>
          <w:sz w:val="28"/>
          <w:szCs w:val="28"/>
          <w:highlight w:val="none"/>
        </w:rPr>
      </w:r>
    </w:p>
    <w:p>
      <w:pPr>
        <w:jc w:val="right"/>
        <w:shd w:val="nil"/>
        <w:rPr>
          <w:sz w:val="16"/>
          <w:szCs w:val="16"/>
          <w14:ligatures w14:val="none"/>
        </w:rPr>
      </w:pPr>
      <w:r>
        <w:rPr>
          <w:sz w:val="16"/>
          <w:szCs w:val="16"/>
        </w:rPr>
        <w:t xml:space="preserve">Приложение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shd w:val="nil"/>
        <w:rPr>
          <w:sz w:val="16"/>
          <w:szCs w:val="16"/>
          <w14:ligatures w14:val="none"/>
        </w:rPr>
      </w:pPr>
      <w:r>
        <w:rPr>
          <w:sz w:val="16"/>
          <w:szCs w:val="16"/>
        </w:rPr>
        <w:t xml:space="preserve">к приказу Комитета по финансам и налоговой политике администрации </w:t>
      </w:r>
      <w:r>
        <w:rPr>
          <w:sz w:val="16"/>
          <w:szCs w:val="16"/>
        </w:rPr>
        <w:t xml:space="preserve">Кондинского</w:t>
      </w:r>
      <w:r>
        <w:rPr>
          <w:sz w:val="16"/>
          <w:szCs w:val="16"/>
        </w:rPr>
        <w:t xml:space="preserve"> района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shd w:val="nil"/>
      </w:pPr>
      <w:r>
        <w:rPr>
          <w:sz w:val="16"/>
          <w:szCs w:val="16"/>
        </w:rPr>
        <w:t xml:space="preserve">от _______№</w:t>
      </w:r>
      <w:r>
        <w:rPr>
          <w:sz w:val="16"/>
          <w:szCs w:val="16"/>
        </w:rPr>
        <w:t xml:space="preserve">____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widowControl w:val="off"/>
        <w:rPr>
          <w:rFonts w:eastAsia="font332"/>
          <w:b/>
          <w:bCs/>
          <w:sz w:val="16"/>
          <w:szCs w:val="16"/>
          <w:highlight w:val="none"/>
        </w:rPr>
      </w:pPr>
      <w:r>
        <w:rPr>
          <w:rFonts w:eastAsia="font332"/>
          <w:b/>
          <w:sz w:val="16"/>
          <w:szCs w:val="16"/>
          <w:highlight w:val="none"/>
        </w:rPr>
      </w:r>
      <w:r>
        <w:rPr>
          <w:rFonts w:eastAsia="font332"/>
          <w:b/>
          <w:bCs/>
          <w:sz w:val="16"/>
          <w:szCs w:val="16"/>
          <w:highlight w:val="none"/>
        </w:rPr>
      </w:r>
    </w:p>
    <w:p>
      <w:pPr>
        <w:jc w:val="center"/>
        <w:widowControl w:val="off"/>
        <w:rPr>
          <w:rFonts w:eastAsia="font332"/>
          <w:b/>
          <w:bCs/>
          <w:highlight w:val="none"/>
        </w:rPr>
      </w:pPr>
      <w:r>
        <w:rPr>
          <w:rFonts w:eastAsia="font332"/>
          <w:b/>
        </w:rPr>
        <w:t xml:space="preserve">Перечень</w:t>
      </w:r>
      <w:r>
        <w:rPr>
          <w:rFonts w:eastAsia="font332"/>
          <w:b/>
        </w:rPr>
      </w:r>
      <w:r/>
    </w:p>
    <w:p>
      <w:pPr>
        <w:jc w:val="center"/>
        <w:widowControl w:val="off"/>
      </w:pPr>
      <w:r>
        <w:rPr>
          <w:rFonts w:eastAsia="font332"/>
          <w:b/>
        </w:rPr>
        <w:t xml:space="preserve">налоговых расходов муниципального образования </w:t>
      </w:r>
      <w:r>
        <w:rPr>
          <w:rFonts w:eastAsia="font332"/>
          <w:b/>
        </w:rPr>
        <w:t xml:space="preserve">Кондинский</w:t>
      </w:r>
      <w:r>
        <w:rPr>
          <w:rFonts w:eastAsia="font332"/>
          <w:b/>
        </w:rPr>
        <w:t xml:space="preserve"> район на 1 января 202</w:t>
      </w:r>
      <w:r>
        <w:rPr>
          <w:rFonts w:eastAsia="font332"/>
          <w:b/>
        </w:rPr>
        <w:t xml:space="preserve">3</w:t>
      </w:r>
      <w:r>
        <w:rPr>
          <w:rFonts w:eastAsia="font332"/>
          <w:b/>
        </w:rPr>
        <w:t xml:space="preserve"> год</w:t>
      </w:r>
      <w:r>
        <w:rPr>
          <w:rFonts w:eastAsia="font332"/>
          <w:b/>
        </w:rPr>
        <w:t xml:space="preserve">а</w:t>
      </w:r>
      <w:r>
        <w:rPr>
          <w:rFonts w:eastAsia="font332"/>
          <w:b/>
        </w:rPr>
      </w:r>
      <w:r/>
    </w:p>
    <w:p>
      <w:pPr>
        <w:ind w:firstLine="540"/>
        <w:jc w:val="both"/>
        <w:widowControl w:val="off"/>
        <w:rPr>
          <w:rFonts w:eastAsia="font332"/>
          <w:b/>
          <w:bCs/>
          <w:sz w:val="16"/>
          <w:szCs w:val="16"/>
        </w:rPr>
      </w:pPr>
      <w:r>
        <w:rPr>
          <w:rFonts w:eastAsia="font332"/>
        </w:rPr>
      </w:r>
      <w:r>
        <w:rPr>
          <w:rFonts w:eastAsia="font332"/>
        </w:rPr>
      </w:r>
      <w:r/>
    </w:p>
    <w:tbl>
      <w:tblPr>
        <w:tblW w:w="5000" w:type="pct"/>
        <w:tblInd w:w="9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7"/>
        <w:gridCol w:w="1407"/>
        <w:gridCol w:w="2029"/>
        <w:gridCol w:w="3478"/>
        <w:gridCol w:w="1917"/>
        <w:gridCol w:w="2844"/>
        <w:gridCol w:w="1743"/>
        <w:gridCol w:w="148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14"/>
                <w:szCs w:val="14"/>
                <w:lang w:eastAsia="en-US"/>
              </w:rPr>
              <w:t xml:space="preserve">№</w:t>
            </w:r>
            <w:r>
              <w:rPr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п</w:t>
            </w:r>
            <w:r>
              <w:rPr>
                <w:sz w:val="14"/>
                <w:szCs w:val="14"/>
                <w:lang w:eastAsia="en-US"/>
              </w:rPr>
              <w:t xml:space="preserve">/п 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14"/>
                <w:szCs w:val="14"/>
                <w:lang w:eastAsia="en-US"/>
              </w:rPr>
              <w:t xml:space="preserve">Наименование налога,</w:t>
            </w:r>
            <w:r>
              <w:rPr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</w:pPr>
            <w:r>
              <w:rPr>
                <w:sz w:val="14"/>
                <w:szCs w:val="14"/>
                <w:lang w:eastAsia="en-US"/>
              </w:rPr>
              <w:t xml:space="preserve">по которому предусматриваются налоговые расходы (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налоговые льготы, освобождения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и иные преференции)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Реквизиты представительных органов муниципальных образований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Кондинского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района, устанавливающих налоговые расходы (налоговые льготы, освобождения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и иные преференции)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(с указанием статьи, части, пункта, подпункта, абзаца)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8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Категории плательщиков налогов,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для которых предусмотрены налоговые расходы (налоговые льготы, освобождения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и иные преференции)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Наименование муниципальной программы, наименования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муниципальных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widowControl w:val="off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правовых актов, определяющих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widowControl w:val="off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цели социально-экономической политики,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widowControl w:val="off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не относящихся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widowControl w:val="off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к муниципальным программам, в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целях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реализации которых предоставляются налоговые расходы (налоговые льготы, освобождения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widowControl w:val="off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и иные преференции)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rPr>
                <w:rFonts w:eastAsia="Arial Unicode MS"/>
                <w:color w:val="000000"/>
                <w:sz w:val="14"/>
                <w:szCs w:val="14"/>
                <w:lang w:eastAsia="en-US"/>
              </w:rPr>
              <w:t xml:space="preserve">Цели и задачи муниципальной программы,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в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целях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реализации которых предоставляются налоговые расходы (налоговые льготы, освобождения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widowControl w:val="off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и иные преференции)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Показатели (индикаторы) достижения целей муниципальных программ и (или) целей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социально-экономической политики, не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относящихся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к муниципальным программам в связи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с предоставлением налоговых расходов (налоговые льготы, освобождения и иные преференции) 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для плательщиков налогов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Куратор налогового расхода 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Налог на имущество физических лиц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Решение Думы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Кондинского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района от 26.11.2014 №509 "Об установлении на межселенных территориях муниципального образования налога на имущество физических лиц" (изм. от 02.09.2018г. №426, №638 от 15.05.2020г.)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абз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. 2,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п. 3.1.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font332"/>
                <w:lang w:eastAsia="en-US"/>
              </w:rPr>
            </w:pPr>
            <w:r>
              <w:rPr>
                <w:sz w:val="14"/>
                <w:szCs w:val="14"/>
              </w:rPr>
              <w:t xml:space="preserve">Снижение налоговой ставки по </w:t>
            </w:r>
            <w:r>
              <w:rPr>
                <w:sz w:val="14"/>
                <w:szCs w:val="14"/>
              </w:rPr>
              <w:t xml:space="preserve">налог</w:t>
            </w:r>
            <w:r>
              <w:rPr>
                <w:sz w:val="14"/>
                <w:szCs w:val="14"/>
              </w:rPr>
              <w:t xml:space="preserve">у</w:t>
            </w:r>
            <w:r>
              <w:rPr>
                <w:sz w:val="14"/>
                <w:szCs w:val="14"/>
              </w:rPr>
              <w:t xml:space="preserve"> на имущество физических лиц в отношении объектов налогообложения, включенных в перечень, определяемый в соответствии с пунктом 7 статьи 378.2 Налогового </w:t>
            </w:r>
            <w:r>
              <w:rPr>
                <w:sz w:val="14"/>
                <w:szCs w:val="14"/>
              </w:rPr>
              <w:t xml:space="preserve">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</w:t>
            </w:r>
            <w:r>
              <w:rPr>
                <w:sz w:val="14"/>
                <w:szCs w:val="14"/>
              </w:rPr>
              <w:t xml:space="preserve">ает 300 миллионов рублей,</w:t>
            </w:r>
            <w:r>
              <w:rPr>
                <w:sz w:val="14"/>
                <w:szCs w:val="14"/>
              </w:rPr>
              <w:t xml:space="preserve"> на 1,5</w:t>
            </w:r>
            <w:r>
              <w:rPr>
                <w:sz w:val="14"/>
                <w:szCs w:val="14"/>
              </w:rPr>
              <w:t xml:space="preserve"> процентных пункта и установление ее </w:t>
            </w:r>
            <w:r>
              <w:rPr>
                <w:sz w:val="14"/>
                <w:szCs w:val="14"/>
              </w:rPr>
              <w:t xml:space="preserve">в размере 0,5 процентов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Постановление администрации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Кондинского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района от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14 ноября 2022 года № 2449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«О муниципальной программе «Развитие малого и среднего предпринимательства»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eastAsia="Arial Unicode MS"/>
                <w:color w:val="000000"/>
                <w:lang w:eastAsia="en-US"/>
              </w:rPr>
            </w:pPr>
            <w:r>
              <w:rPr>
                <w:sz w:val="14"/>
                <w:szCs w:val="14"/>
              </w:rPr>
              <w:t xml:space="preserve">Развитие малого и среднего предпринимательства в муниципальном образовании</w:t>
            </w:r>
            <w:r>
              <w:rPr>
                <w:rFonts w:eastAsia="Arial Unicode MS"/>
                <w:color w:val="000000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Увеличение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численности занятых в сфере малого и среднего предпринимательства, включая индивидуальных предпринимателей, человек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</w:rPr>
              <w:t xml:space="preserve">Комитет </w:t>
            </w:r>
            <w:r>
              <w:rPr>
                <w:sz w:val="14"/>
                <w:szCs w:val="14"/>
              </w:rPr>
              <w:t xml:space="preserve">несырьевого</w:t>
            </w:r>
            <w:r>
              <w:rPr>
                <w:sz w:val="14"/>
                <w:szCs w:val="14"/>
              </w:rPr>
              <w:t xml:space="preserve"> сектора экономики и поддержки предпринимательства администрации </w:t>
            </w:r>
            <w:r>
              <w:rPr>
                <w:sz w:val="14"/>
                <w:szCs w:val="14"/>
              </w:rPr>
              <w:t xml:space="preserve">Кондинского</w:t>
            </w:r>
            <w:r>
              <w:rPr>
                <w:sz w:val="14"/>
                <w:szCs w:val="14"/>
              </w:rPr>
              <w:t xml:space="preserve"> района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2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Земельный налог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Решение Думы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Кондинского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района от 29.04.2015 г. № 558 «О земельном налоге» (изм. от 28.12.2016г. № 189, от 29.09.2020г. № 686)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п. 3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8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14"/>
                <w:szCs w:val="14"/>
              </w:rPr>
              <w:t xml:space="preserve">Организации в отношении земельных уча</w:t>
            </w:r>
            <w:r>
              <w:rPr>
                <w:sz w:val="14"/>
                <w:szCs w:val="14"/>
              </w:rPr>
              <w:t xml:space="preserve">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 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rPr>
                <w:sz w:val="14"/>
                <w:szCs w:val="14"/>
              </w:rPr>
              <w:t xml:space="preserve">Постановление администрации </w:t>
            </w:r>
            <w:r>
              <w:rPr>
                <w:sz w:val="14"/>
                <w:szCs w:val="14"/>
              </w:rPr>
              <w:t xml:space="preserve">Кондинского</w:t>
            </w:r>
            <w:r>
              <w:rPr>
                <w:sz w:val="14"/>
                <w:szCs w:val="14"/>
              </w:rPr>
              <w:t xml:space="preserve"> района от 31 октября 2022 года № 2371 «О муниципальной программе «Развитие экономического потенциала»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rPr>
                <w:sz w:val="14"/>
                <w:szCs w:val="14"/>
              </w:rPr>
              <w:t xml:space="preserve">Повышение инвестиционной привлекательности </w:t>
            </w:r>
            <w:r>
              <w:rPr>
                <w:sz w:val="14"/>
                <w:szCs w:val="14"/>
              </w:rPr>
              <w:t xml:space="preserve">Кондинского</w:t>
            </w:r>
            <w:r>
              <w:rPr>
                <w:sz w:val="14"/>
                <w:szCs w:val="14"/>
              </w:rPr>
              <w:t xml:space="preserve"> района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font332"/>
                <w:bCs/>
                <w:color w:val="ff0000"/>
                <w:lang w:eastAsia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Доля плательщиков налога, воспользовавшихся правом на получение налоговых льгот, освобождений и иных преференций от общей численности плательщиков, %</w:t>
            </w:r>
            <w:r>
              <w:rPr>
                <w:rFonts w:eastAsia="font332"/>
                <w:b/>
                <w:color w:val="ff0000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14"/>
                <w:szCs w:val="14"/>
              </w:rPr>
              <w:t xml:space="preserve">Комитет экономического развития администрации </w:t>
            </w:r>
            <w:r>
              <w:rPr>
                <w:sz w:val="14"/>
                <w:szCs w:val="14"/>
              </w:rPr>
              <w:t xml:space="preserve">Кондинского</w:t>
            </w:r>
            <w:r>
              <w:rPr>
                <w:sz w:val="14"/>
                <w:szCs w:val="14"/>
              </w:rPr>
              <w:t xml:space="preserve"> района</w:t>
            </w:r>
            <w:r>
              <w:rPr>
                <w:sz w:val="14"/>
                <w:szCs w:val="1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3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Земельный налог</w:t>
            </w:r>
            <w:r>
              <w:rPr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rFonts w:eastAsia="font332"/>
                <w:sz w:val="14"/>
                <w:szCs w:val="14"/>
                <w:lang w:eastAsia="en-US"/>
              </w:rPr>
              <w:t xml:space="preserve">Решение Думы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Кондинского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 района от 29.04.2015 г. № 558 «О земельном налоге» (изм. от 28.12.2016г. № 189, от 29.09.2020г. № 686) 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абз</w:t>
            </w:r>
            <w:r>
              <w:rPr>
                <w:rFonts w:eastAsia="font332"/>
                <w:sz w:val="14"/>
                <w:szCs w:val="14"/>
                <w:lang w:eastAsia="en-US"/>
              </w:rPr>
              <w:t xml:space="preserve">. 2 п. 2</w:t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  <w:p>
            <w:pPr>
              <w:jc w:val="center"/>
              <w:spacing w:line="276" w:lineRule="auto"/>
              <w:rPr>
                <w:rFonts w:eastAsia="font332"/>
                <w:lang w:eastAsia="en-US"/>
              </w:rPr>
            </w:pPr>
            <w:r>
              <w:rPr>
                <w:rFonts w:eastAsia="font332"/>
                <w:sz w:val="14"/>
                <w:szCs w:val="14"/>
                <w:lang w:eastAsia="en-US"/>
              </w:rPr>
            </w:r>
            <w:r>
              <w:rPr>
                <w:rFonts w:eastAsia="font332"/>
                <w:sz w:val="14"/>
                <w:szCs w:val="14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8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14"/>
                <w:szCs w:val="14"/>
              </w:rPr>
              <w:t xml:space="preserve">Снижение налоговой с</w:t>
            </w:r>
            <w:r>
              <w:rPr>
                <w:sz w:val="14"/>
                <w:szCs w:val="14"/>
              </w:rPr>
              <w:t xml:space="preserve">тавк</w:t>
            </w:r>
            <w:r>
              <w:rPr>
                <w:sz w:val="14"/>
                <w:szCs w:val="14"/>
              </w:rPr>
              <w:t xml:space="preserve">и по </w:t>
            </w:r>
            <w:r>
              <w:rPr>
                <w:sz w:val="14"/>
                <w:szCs w:val="14"/>
              </w:rPr>
              <w:t xml:space="preserve">земельн</w:t>
            </w:r>
            <w:r>
              <w:rPr>
                <w:sz w:val="14"/>
                <w:szCs w:val="14"/>
              </w:rPr>
              <w:t xml:space="preserve">ому налогу </w:t>
            </w:r>
            <w:r>
              <w:rPr>
                <w:sz w:val="14"/>
                <w:szCs w:val="14"/>
              </w:rPr>
              <w:t xml:space="preserve">в отношении земельных участков организаций, на которых расположены объекты связи и</w:t>
            </w:r>
            <w:r>
              <w:rPr>
                <w:sz w:val="14"/>
                <w:szCs w:val="14"/>
              </w:rPr>
              <w:t xml:space="preserve"> центры обработки данных, </w:t>
            </w:r>
            <w:r>
              <w:rPr>
                <w:sz w:val="14"/>
                <w:szCs w:val="14"/>
              </w:rPr>
              <w:t xml:space="preserve"> на 0,75 процентных пункта и установлен</w:t>
            </w:r>
            <w:r>
              <w:rPr>
                <w:sz w:val="14"/>
                <w:szCs w:val="14"/>
              </w:rPr>
              <w:t xml:space="preserve">ие ее </w:t>
            </w:r>
            <w:r>
              <w:rPr>
                <w:sz w:val="14"/>
                <w:szCs w:val="14"/>
              </w:rPr>
              <w:t xml:space="preserve">в размере 0,75 процентов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rPr>
                <w:sz w:val="14"/>
                <w:szCs w:val="14"/>
              </w:rPr>
              <w:t xml:space="preserve">Решение Думы </w:t>
            </w:r>
            <w:r>
              <w:rPr>
                <w:sz w:val="14"/>
                <w:szCs w:val="14"/>
              </w:rPr>
              <w:t xml:space="preserve">Кондинского</w:t>
            </w:r>
            <w:r>
              <w:rPr>
                <w:sz w:val="14"/>
                <w:szCs w:val="14"/>
              </w:rPr>
              <w:t xml:space="preserve"> района от 05.09.2017 года № 297 «О стратегии социально-экономического развития </w:t>
            </w:r>
            <w:r>
              <w:rPr>
                <w:sz w:val="14"/>
                <w:szCs w:val="14"/>
              </w:rPr>
              <w:t xml:space="preserve">Кондинского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района Ханты</w:t>
            </w:r>
            <w:r>
              <w:rPr>
                <w:sz w:val="14"/>
                <w:szCs w:val="14"/>
              </w:rPr>
              <w:t xml:space="preserve">-Мансийского автономного округа – Югры</w:t>
            </w:r>
            <w:r>
              <w:rPr>
                <w:sz w:val="14"/>
                <w:szCs w:val="14"/>
              </w:rPr>
              <w:t xml:space="preserve"> на период до 2023 года</w:t>
            </w:r>
            <w:r>
              <w:rPr>
                <w:sz w:val="14"/>
                <w:szCs w:val="14"/>
              </w:rPr>
              <w:t xml:space="preserve">»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</w:pPr>
            <w:r>
              <w:rPr>
                <w:sz w:val="14"/>
                <w:szCs w:val="14"/>
              </w:rPr>
              <w:t xml:space="preserve">Создание условий для развития общества знаний, повышение благосостояния и качества жизни жителей района путем повышения доступности</w:t>
            </w:r>
            <w:r>
              <w:rPr>
                <w:sz w:val="14"/>
                <w:szCs w:val="14"/>
              </w:rPr>
              <w:t xml:space="preserve">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услуг для граждан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</w:rPr>
            </w:pPr>
            <w:r>
              <w:rPr>
                <w:rFonts w:eastAsia="Calibri"/>
                <w:sz w:val="14"/>
                <w:szCs w:val="14"/>
              </w:rPr>
              <w:t xml:space="preserve">Доля налогоплательщиков воспользовавшихся налоговой льготой от общего числа налогоплательщиков имеющих право на получение льготы</w:t>
            </w:r>
            <w:r>
              <w:rPr>
                <w:color w:val="000000" w:themeColor="text1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sz w:val="14"/>
                <w:szCs w:val="14"/>
              </w:rPr>
              <w:t xml:space="preserve">Комитет по информационным технологиям и связи администрации </w:t>
            </w:r>
            <w:r>
              <w:rPr>
                <w:sz w:val="14"/>
                <w:szCs w:val="14"/>
              </w:rPr>
              <w:t xml:space="preserve">Кондинского</w:t>
            </w:r>
            <w:r>
              <w:rPr>
                <w:sz w:val="14"/>
                <w:szCs w:val="14"/>
              </w:rPr>
              <w:t xml:space="preserve"> района</w:t>
            </w:r>
            <w:r>
              <w:rPr>
                <w:sz w:val="14"/>
                <w:szCs w:val="14"/>
              </w:rPr>
            </w:r>
            <w:r/>
          </w:p>
        </w:tc>
      </w:tr>
    </w:tbl>
    <w:p>
      <w:pPr>
        <w:shd w:val="nil"/>
        <w:rPr>
          <w:rStyle w:val="680"/>
          <w:sz w:val="16"/>
          <w:szCs w:val="16"/>
          <w:highlight w:val="none"/>
        </w:rPr>
      </w:pPr>
      <w:r>
        <w:rPr>
          <w:sz w:val="28"/>
          <w:szCs w:val="28"/>
        </w:rPr>
      </w:r>
      <w:r>
        <w:rPr>
          <w:sz w:val="16"/>
          <w:szCs w:val="16"/>
        </w:rPr>
      </w:r>
      <w:r>
        <w:rPr>
          <w:rStyle w:val="680"/>
          <w:sz w:val="16"/>
          <w:szCs w:val="16"/>
          <w:highlight w:val="none"/>
        </w:rPr>
      </w:r>
    </w:p>
    <w:sectPr>
      <w:footnotePr/>
      <w:endnotePr/>
      <w:type w:val="nextPage"/>
      <w:pgSz w:w="16838" w:h="11906" w:orient="landscape"/>
      <w:pgMar w:top="340" w:right="567" w:bottom="340" w:left="85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font332">
    <w:panose1 w:val="02000000000000000000"/>
  </w:font>
  <w:font w:name="Tahoma">
    <w:panose1 w:val="020B0604030504040204"/>
  </w:font>
  <w:font w:name="TimesET">
    <w:panose1 w:val="02000000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rStyle w:val="674"/>
      </w:rPr>
      <w:framePr w:wrap="around" w:vAnchor="text" w:hAnchor="margin" w:xAlign="center" w:y="1"/>
    </w:pPr>
    <w:r>
      <w:rPr>
        <w:rStyle w:val="674"/>
      </w:rPr>
      <w:fldChar w:fldCharType="begin"/>
    </w:r>
    <w:r>
      <w:rPr>
        <w:rStyle w:val="674"/>
      </w:rPr>
      <w:instrText xml:space="preserve">PAGE  </w:instrText>
    </w:r>
    <w:r>
      <w:rPr>
        <w:rStyle w:val="674"/>
      </w:rPr>
      <w:fldChar w:fldCharType="end"/>
    </w:r>
    <w:r/>
  </w:p>
  <w:p>
    <w:pPr>
      <w:pStyle w:val="67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31" w:hanging="13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32" w:hanging="13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33" w:hanging="132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5"/>
    <w:link w:val="663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5"/>
    <w:link w:val="664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65"/>
    <w:link w:val="670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2"/>
    <w:uiPriority w:val="99"/>
  </w:style>
  <w:style w:type="character" w:styleId="44">
    <w:name w:val="Footer Char"/>
    <w:basedOn w:val="665"/>
    <w:link w:val="684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4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3">
    <w:name w:val="Heading 1"/>
    <w:basedOn w:val="662"/>
    <w:next w:val="662"/>
    <w:link w:val="668"/>
    <w:qFormat/>
    <w:pPr>
      <w:jc w:val="center"/>
      <w:keepNext/>
      <w:outlineLvl w:val="0"/>
    </w:pPr>
    <w:rPr>
      <w:rFonts w:ascii="TimesET" w:hAnsi="TimesET"/>
      <w:sz w:val="28"/>
    </w:rPr>
  </w:style>
  <w:style w:type="paragraph" w:styleId="664">
    <w:name w:val="Heading 3"/>
    <w:basedOn w:val="662"/>
    <w:next w:val="662"/>
    <w:link w:val="669"/>
    <w:qFormat/>
    <w:pPr>
      <w:jc w:val="center"/>
      <w:keepNext/>
      <w:outlineLvl w:val="2"/>
    </w:pPr>
    <w:rPr>
      <w:rFonts w:ascii="TimesET" w:hAnsi="TimesET"/>
      <w:sz w:val="36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63"/>
    <w:rPr>
      <w:rFonts w:ascii="TimesET" w:hAnsi="TimesET" w:eastAsia="Times New Roman" w:cs="Times New Roman"/>
      <w:sz w:val="28"/>
      <w:szCs w:val="24"/>
      <w:lang w:eastAsia="ru-RU"/>
    </w:rPr>
  </w:style>
  <w:style w:type="character" w:styleId="669" w:customStyle="1">
    <w:name w:val="Заголовок 3 Знак"/>
    <w:basedOn w:val="665"/>
    <w:link w:val="664"/>
    <w:rPr>
      <w:rFonts w:ascii="TimesET" w:hAnsi="TimesET" w:eastAsia="Times New Roman" w:cs="Times New Roman"/>
      <w:sz w:val="36"/>
      <w:szCs w:val="24"/>
      <w:lang w:eastAsia="ru-RU"/>
    </w:rPr>
  </w:style>
  <w:style w:type="paragraph" w:styleId="670">
    <w:name w:val="Title"/>
    <w:basedOn w:val="662"/>
    <w:link w:val="671"/>
    <w:qFormat/>
    <w:pPr>
      <w:jc w:val="center"/>
    </w:pPr>
    <w:rPr>
      <w:rFonts w:ascii="TimesET" w:hAnsi="TimesET"/>
      <w:sz w:val="32"/>
    </w:rPr>
  </w:style>
  <w:style w:type="character" w:styleId="671" w:customStyle="1">
    <w:name w:val="Название Знак"/>
    <w:basedOn w:val="665"/>
    <w:link w:val="670"/>
    <w:rPr>
      <w:rFonts w:ascii="TimesET" w:hAnsi="TimesET" w:eastAsia="Times New Roman" w:cs="Times New Roman"/>
      <w:sz w:val="32"/>
      <w:szCs w:val="24"/>
    </w:rPr>
  </w:style>
  <w:style w:type="paragraph" w:styleId="672">
    <w:name w:val="Header"/>
    <w:basedOn w:val="662"/>
    <w:link w:val="673"/>
    <w:pPr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5"/>
    <w:link w:val="67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>
    <w:name w:val="page number"/>
    <w:basedOn w:val="665"/>
  </w:style>
  <w:style w:type="paragraph" w:styleId="675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76">
    <w:name w:val="Body Text"/>
    <w:basedOn w:val="662"/>
    <w:link w:val="677"/>
    <w:pPr>
      <w:spacing w:after="120"/>
    </w:pPr>
  </w:style>
  <w:style w:type="character" w:styleId="677" w:customStyle="1">
    <w:name w:val="Основной текст Знак"/>
    <w:basedOn w:val="665"/>
    <w:link w:val="67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>
    <w:name w:val="Balloon Text"/>
    <w:basedOn w:val="662"/>
    <w:link w:val="679"/>
    <w:uiPriority w:val="99"/>
    <w:semiHidden/>
    <w:unhideWhenUsed/>
    <w:rPr>
      <w:rFonts w:ascii="Tahoma" w:hAnsi="Tahoma" w:cs="Tahoma"/>
      <w:sz w:val="16"/>
      <w:szCs w:val="16"/>
    </w:rPr>
  </w:style>
  <w:style w:type="character" w:styleId="679" w:customStyle="1">
    <w:name w:val="Текст выноски Знак"/>
    <w:basedOn w:val="665"/>
    <w:link w:val="67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80" w:customStyle="1">
    <w:name w:val="blk"/>
    <w:basedOn w:val="665"/>
  </w:style>
  <w:style w:type="character" w:styleId="681" w:customStyle="1">
    <w:name w:val="hl"/>
    <w:basedOn w:val="665"/>
  </w:style>
  <w:style w:type="character" w:styleId="682">
    <w:name w:val="Hyperlink"/>
    <w:basedOn w:val="665"/>
    <w:uiPriority w:val="99"/>
    <w:semiHidden/>
    <w:unhideWhenUsed/>
    <w:rPr>
      <w:color w:val="0000ff"/>
      <w:u w:val="single"/>
    </w:rPr>
  </w:style>
  <w:style w:type="character" w:styleId="683" w:customStyle="1">
    <w:name w:val="nobr"/>
    <w:basedOn w:val="665"/>
  </w:style>
  <w:style w:type="paragraph" w:styleId="684">
    <w:name w:val="Footer"/>
    <w:basedOn w:val="662"/>
    <w:link w:val="6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65"/>
    <w:link w:val="6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022206</dc:creator>
  <cp:keywords/>
  <dc:description/>
  <cp:revision>29</cp:revision>
  <dcterms:created xsi:type="dcterms:W3CDTF">2020-03-23T09:21:00Z</dcterms:created>
  <dcterms:modified xsi:type="dcterms:W3CDTF">2022-11-22T05:36:42Z</dcterms:modified>
</cp:coreProperties>
</file>