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июня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202</w:t>
            </w:r>
            <w:r>
              <w:rPr>
                <w:color w:val="000000"/>
                <w:sz w:val="26"/>
                <w:szCs w:val="26"/>
              </w:rPr>
              <w:t xml:space="preserve">3</w:t>
            </w:r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9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692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пгт. Междуреченский</w:t>
            </w:r>
          </w:p>
        </w:tc>
        <w:tc>
          <w:tcPr>
            <w:tcW w:w="329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2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в постановление </w:t>
            </w:r>
          </w:p>
          <w:p>
            <w:pPr>
              <w:pStyle w:val="UserStyle_12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администрации Кондинского района </w:t>
            </w:r>
          </w:p>
          <w:p>
            <w:pPr>
              <w:pStyle w:val="UserStyle_12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 21 августа 2018 года № 1672</w:t>
            </w:r>
          </w:p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</w:p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«Оказание финансовой поддержки субъектам малого и среднего предпринимательства»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"/content/act/bba0bfb1-06c7-4e50-a8d3-fe1045784bf1.html" \o "ФЕДЕРАЛЬНЫЙ ЗАКОН от 27.07.2010 № 210-ФЗ</w:instrTex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instrText xml:space="preserve">ГОСУДАРСТВЕННАЯ ДУМА ФЕДЕРАЛЬНОГО СОБРАНИЯ РФ</w:instrTex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instrText xml:space="preserve">Об организации предоставления государственных и муниципальных услуг"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Hyperlink"/>
          <w:color w:val="000000"/>
          <w:sz w:val="26"/>
          <w:szCs w:val="26"/>
          <w:u w:val="none"/>
        </w:rPr>
        <w:t xml:space="preserve">от 27 июля 2010 года № 210-ФЗ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Кондинского района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"/content/act/c993f8e3-1d20-43f8-86ac-07b63ab9b0b5.html" \o "решение от 26.05.2015 № 569 Дума Кондинского района</w:instrTex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instrText xml:space="preserve">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Hyperlink"/>
          <w:color w:val="000000"/>
          <w:sz w:val="26"/>
          <w:szCs w:val="26"/>
          <w:u w:val="none"/>
        </w:rPr>
        <w:t xml:space="preserve">от 13 мая 2011 года № 686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«О порядке разработки, проведения экспертизы и утверждения административных регламентов предоставления муниципальных услуг»</w:t>
      </w:r>
      <w:r>
        <w:rPr>
          <w:sz w:val="26"/>
          <w:szCs w:val="26"/>
        </w:rPr>
        <w:t xml:space="preserve">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в целях повышения качества и доступности оказания муниципальных услуг и исполнения муниципальных функций, </w:t>
      </w:r>
      <w:r>
        <w:rPr>
          <w:b/>
          <w:sz w:val="26"/>
          <w:szCs w:val="26"/>
        </w:rPr>
        <w:t xml:space="preserve">администрация Кондинского района постановляет: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Кондинского района </w:t>
      </w:r>
      <w:r>
        <w:rPr>
          <w:sz w:val="26"/>
          <w:szCs w:val="26"/>
        </w:rPr>
        <w:t xml:space="preserve">от 21 августа 2018 года № 1672 «Об утверждении административного регламента предоставления муниципальной услуги «Оказание финансовой поддержки субъектам малого и среднего предпринимательства» </w:t>
      </w:r>
      <w:r>
        <w:rPr>
          <w:sz w:val="26"/>
          <w:szCs w:val="26"/>
        </w:rPr>
        <w:t xml:space="preserve">следующие изменени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постановлению: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абзаце втором пункта 1 раздела </w:t>
      </w:r>
      <w:r>
        <w:rPr>
          <w:sz w:val="26"/>
          <w:szCs w:val="26"/>
          <w:lang w:val="en-US"/>
        </w:rPr>
        <w:t xml:space="preserve">I</w:t>
      </w:r>
      <w:r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 xml:space="preserve">от 29 октября 2018 года № 2116 «О муниципальной программе «</w:t>
      </w:r>
      <w:r>
        <w:rPr>
          <w:sz w:val="26"/>
          <w:szCs w:val="26"/>
        </w:rPr>
        <w:t xml:space="preserve">Развитие малого и среднего предпринимательств</w:t>
      </w:r>
      <w:r>
        <w:rPr>
          <w:sz w:val="26"/>
          <w:szCs w:val="26"/>
        </w:rPr>
        <w:t xml:space="preserve">а в Кондинском районе на 2019-</w:t>
      </w:r>
      <w:r>
        <w:rPr>
          <w:sz w:val="26"/>
          <w:szCs w:val="26"/>
        </w:rPr>
        <w:t xml:space="preserve">2025 годы и на период до 2030 года» заменить словами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«от 14 ноября 2022 года № 2449 «О муниципальной программе Кондинского района «Развитие малого и среднего предпринимательства».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2. Пункт второй раздела </w:t>
      </w:r>
      <w:r>
        <w:rPr>
          <w:sz w:val="26"/>
          <w:szCs w:val="26"/>
          <w:lang w:val="en-US"/>
        </w:rPr>
        <w:t xml:space="preserve">I</w:t>
      </w:r>
      <w:r>
        <w:rPr>
          <w:sz w:val="26"/>
          <w:szCs w:val="26"/>
        </w:rPr>
        <w:t xml:space="preserve"> после слов «</w:t>
      </w:r>
      <w:r>
        <w:rPr>
          <w:sz w:val="26"/>
          <w:szCs w:val="26"/>
        </w:rPr>
        <w:t xml:space="preserve">за исключением общераспространенных полезных ископаемых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и минеральных питьевых вод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Подпункт 9.5 пункта 9 раздела </w:t>
      </w:r>
      <w:r>
        <w:rPr>
          <w:sz w:val="26"/>
          <w:szCs w:val="26"/>
          <w:lang w:val="en-US"/>
        </w:rPr>
        <w:t xml:space="preserve">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следующей редакции: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«9.5. О Фонде пенсионного и социального страхования Российской Федерации </w:t>
      </w:r>
      <w:r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(https://sfr.gov.ru/)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Абзац седьмой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13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Фондом пенсионного и социального страхования Российской Федерации</w:t>
      </w:r>
      <w:r>
        <w:rPr>
          <w:sz w:val="26"/>
          <w:szCs w:val="26"/>
        </w:rPr>
        <w:t xml:space="preserve">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абзаце шестом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16 раздела II цифру «3» заменить цифрой «5».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Подпункт 18.1.2 пункта 18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после слов «по приобретению» дополнить словом «нового».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 Абзац второй подпункта 18.1.2</w:t>
      </w:r>
      <w:r>
        <w:rPr>
          <w:sz w:val="26"/>
          <w:szCs w:val="26"/>
        </w:rPr>
        <w:t xml:space="preserve"> пункта 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II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«Копии документов:».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Абзац второй подпункта 18.1.3</w:t>
      </w:r>
      <w:r>
        <w:rPr>
          <w:sz w:val="26"/>
          <w:szCs w:val="26"/>
        </w:rPr>
        <w:t xml:space="preserve"> пункта 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II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«Копии документов:».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Абзац шестой подпункта 18.1.3</w:t>
      </w:r>
      <w:r>
        <w:rPr>
          <w:sz w:val="26"/>
          <w:szCs w:val="26"/>
        </w:rPr>
        <w:t xml:space="preserve"> пункта 18 раздела II после слов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«водоснабжение,» дополнить словом «водоотведение,».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 Абзац второй подпункта 18.1.4 пункта 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II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«Копии документов:».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 Абз</w:t>
      </w:r>
      <w:r>
        <w:rPr>
          <w:sz w:val="26"/>
          <w:szCs w:val="26"/>
        </w:rPr>
        <w:t xml:space="preserve">ац второй подпункта 18.1.5 </w:t>
      </w:r>
      <w:r>
        <w:rPr>
          <w:sz w:val="26"/>
          <w:szCs w:val="26"/>
        </w:rPr>
        <w:t xml:space="preserve">пункта 18 раздела II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«Копии документов:».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. Абзац второй подпункта 18.1.6</w:t>
      </w:r>
      <w:r>
        <w:rPr>
          <w:sz w:val="26"/>
          <w:szCs w:val="26"/>
        </w:rPr>
        <w:t xml:space="preserve"> пункта 18 раздела II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«Копии документов:».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одпункт 18.1 п</w:t>
      </w:r>
      <w:r>
        <w:rPr>
          <w:sz w:val="26"/>
          <w:szCs w:val="26"/>
        </w:rPr>
        <w:t xml:space="preserve">ункт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18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дополнить подпунктом 18.1.7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следующего содержания: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«18.1.7. По направлению «Возмещение части затрат по обязательной сертификации произведенной продукции».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паспорта гражданина Российской Федерации;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договора на открытие банковского счета или карточка предприятия Субъекта с указанием банковских реквизитов;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сертификатов;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договоров на выполнение работ (оказание услуг) по оформлению сертификата, декларации соответствия; с аккредитованной испытательной лабораторией по испытанию образцов;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актов выполненных работ (оказанных услуг);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за оказанные услуги: платежные поручения, кассовые чеки.»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Подпункты 18.2.2-18.2.3</w:t>
      </w:r>
      <w:r>
        <w:rPr>
          <w:sz w:val="26"/>
          <w:szCs w:val="26"/>
        </w:rPr>
        <w:t xml:space="preserve"> пункта 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II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«18.2.2. Копии документов: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паспорта гражданина Российской Федерации;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договора на открытие банковского счета или карточки предприятия Субъекта с у</w:t>
      </w:r>
      <w:r>
        <w:rPr>
          <w:sz w:val="26"/>
          <w:szCs w:val="26"/>
        </w:rPr>
        <w:t xml:space="preserve">казанием банковских реквизитов.</w:t>
      </w:r>
      <w:r>
        <w:rPr>
          <w:sz w:val="26"/>
          <w:szCs w:val="26"/>
        </w:rPr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18.2.3. При возмещении части затрат на приобретение основных средств (оборудование, оргтехника, мебель):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договоров на поставку оборудования (основных средств);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универсальных передаточных документов (УПД), товарных накладных (форма № торг-12);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за приобретение основных средств: платежные поручения, кассовые чеки.»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Подпункт 18.2</w:t>
      </w:r>
      <w:r>
        <w:rPr>
          <w:sz w:val="26"/>
          <w:szCs w:val="26"/>
        </w:rPr>
        <w:t xml:space="preserve"> пункта 18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дополнить подпунктами 18.2.4-18.2.10</w:t>
      </w:r>
      <w:r>
        <w:rPr>
          <w:sz w:val="26"/>
          <w:szCs w:val="26"/>
        </w:rPr>
        <w:t xml:space="preserve"> следующего содержания: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«18.2.4. При возмещении части затрат на приобретение инвентаря производственного назначения: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договоров на поставку инвентаря производственного назначения;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универсальных передаточных документов (УПД), товарных накладных (форма № торг-12);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за приобретение инвентаря производственного назначения: платежные поручения, кассовые чеки.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18.2.5. При возмещении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 подтверждающих оплату государственной пошлины (при возмещении затрат по государственной регистрации юридического лица и индивидуального предпринимателя).</w:t>
      </w:r>
    </w:p>
    <w:p>
      <w:pPr>
        <w:pStyle w:val="User"/>
        <w:ind w:firstLine="709"/>
        <w:jc w:val="both"/>
      </w:pPr>
      <w:r>
        <w:rPr>
          <w:sz w:val="26"/>
          <w:szCs w:val="26"/>
        </w:rPr>
        <w:t xml:space="preserve">18.2.6. При возмещении части затрат на аренду (субаренду) нежилых помещений: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право аренды (субаренды) на нежилое помещение;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актов выполненных работ (оказанных услуг);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за оказанные услуги: платежные поручения, кассовые чеки.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18.2.7. При возмещении части затрат на оплату коммунальных услуг нежилых помещений: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право аренды (субаренды) на нежилое помещение;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договоров на оказание коммунальных услуг с поставщиками услуг (энергоснабжение, водоснабжение, теплоснабжение и так далее);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актов выполненных работ (оказанных услуг);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за оказанные услуги: платежные поручения, кассовые чеки.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18.2.8. При возмещении части затрат на рекламу: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договоров на оказание рекламных услуг;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актов выполненных работ (оказанных услуг);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за оказанные услуги: платежные поручения, кассовые чеки.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18.2.9. При возмещении части затрат на выплаты по передаче прав на франшизу (паушальный взнос):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договора по передаче прав на франшизу (при возмещении затрат на рекламу, выплаты по передаче прав на франшизу (паушальный взнос);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актов выполненных работ (оказанных услуг);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за оказанные услуги: платежные поручения, кассовые чеки.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18.2.10. При возмещении части затрат на ремонтные работы в нежилых помещениях, выполняемые при подготовке помещений к эксплуатации: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договоров купли-продажи (поставки) строительных и отделочных материалов;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договоров</w:t>
      </w:r>
      <w:r>
        <w:rPr>
          <w:sz w:val="26"/>
          <w:szCs w:val="26"/>
        </w:rPr>
        <w:t xml:space="preserve"> на оказание ремонтных работ, услуг;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актов выполненных работ (оказанных услуг);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счетов-фактуры за оказанные услуги;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универсальных передаточных документов (УПД), товарных накладных (форма № торг-12);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документов, подтверждающих факт оплаты товаров, работ, оказанных услуг (платежные поручения, кассовые чеки).».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В</w:t>
      </w:r>
      <w:r>
        <w:rPr>
          <w:sz w:val="26"/>
          <w:szCs w:val="26"/>
        </w:rPr>
        <w:t xml:space="preserve"> абзаце втором подпункта 18.3.1</w:t>
      </w:r>
      <w:r>
        <w:rPr>
          <w:sz w:val="26"/>
          <w:szCs w:val="26"/>
        </w:rPr>
        <w:t xml:space="preserve"> пункта 18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слова </w:t>
      </w:r>
      <w:r>
        <w:rPr>
          <w:sz w:val="26"/>
          <w:szCs w:val="26"/>
        </w:rPr>
        <w:t xml:space="preserve">                                «в Кондинском районе на 2019-</w:t>
      </w:r>
      <w:r>
        <w:rPr>
          <w:sz w:val="26"/>
          <w:szCs w:val="26"/>
        </w:rPr>
        <w:t xml:space="preserve">2025 годы и на период до 2030 года» исключить.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17</w:t>
      </w:r>
      <w:r>
        <w:rPr>
          <w:sz w:val="26"/>
          <w:szCs w:val="26"/>
        </w:rPr>
        <w:t xml:space="preserve">. Абзац третий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подпункта 18.3.1</w:t>
      </w:r>
      <w:r>
        <w:rPr>
          <w:sz w:val="26"/>
          <w:szCs w:val="26"/>
        </w:rPr>
        <w:t xml:space="preserve"> пункта 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II изложить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в следующей редакции: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«Копии документов:».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18</w:t>
      </w:r>
      <w:r>
        <w:rPr>
          <w:sz w:val="26"/>
          <w:szCs w:val="26"/>
        </w:rPr>
        <w:t xml:space="preserve">. В абзаце втором подпункта 18.3.2 пункта 18 раздела II слова </w:t>
      </w:r>
      <w:r>
        <w:rPr>
          <w:sz w:val="26"/>
          <w:szCs w:val="26"/>
        </w:rPr>
        <w:t xml:space="preserve">                             «в Кондинском районе на 2019-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 годы и на период до 2030 года</w:t>
      </w:r>
      <w:r>
        <w:rPr>
          <w:sz w:val="26"/>
          <w:szCs w:val="26"/>
        </w:rPr>
        <w:t xml:space="preserve">» исключить.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Абзац третий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подпункта 18.3.2 пункта 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II изложить в следующей редакции: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«Копии документов:».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. Подпункт 18.3.3</w:t>
      </w:r>
      <w:r>
        <w:rPr>
          <w:sz w:val="26"/>
          <w:szCs w:val="26"/>
        </w:rPr>
        <w:t xml:space="preserve"> пункта 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II изложить в следующей редакции: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«18.3.3. По направлению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Возмещение части затрат на жилищно-коммунальные услуги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предоставление муниципальной услуги по оказанию поддержки субъектам малого и среднего предпринимательства, осуществляющим деятельность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в отраслях, пострадавших от распространения новой коронавирусной инфекции,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в рамках реализации муниципальной программы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Развитие малого и среднего предпринимательства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гражданина Российской Федерации;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на открытие банковского счета;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, подтверждающи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право собственности (аренды, субаренды) на нежилое помещение;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выполненных работ (оказанных услуг);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, подтверждающи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факт оплаты за оказанные услуги: платежные поручения, квитанции к приходным кассовым ордерам.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личного обращения в Комитет либо через МФЦ, Заявитель представляет документы, удостоверяющие личность Заявителя (представитель Заявителя) предъявляет документ, удостоверяющий его личность (представитель Заявителя также представляет документ, подтверждающий полномочие действовать от имени Заявителя).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подаче заявления в электронной форме представление документа, удостоверяющего личность Заявителя, не требуется.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Требовать от Заявителя представления документов (копий документов),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не предусмотренных пунктом 18 раздела II Административного регламента,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не допускается.»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 Абзац третий пункта 19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изложить в следующей редакции: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«документ, содержащий сведения о наличии (отсутствии) задолженности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по уплате налогов, сборов, страховых взносов, пеней и</w:t>
      </w:r>
      <w:r>
        <w:rPr>
          <w:sz w:val="26"/>
          <w:szCs w:val="26"/>
        </w:rPr>
        <w:t xml:space="preserve"> штрафов (УФНС России                    по ХМАО-</w:t>
      </w:r>
      <w:r>
        <w:rPr>
          <w:sz w:val="26"/>
          <w:szCs w:val="26"/>
        </w:rPr>
        <w:t xml:space="preserve">Югре, </w:t>
      </w:r>
      <w:r>
        <w:rPr>
          <w:sz w:val="26"/>
          <w:szCs w:val="26"/>
        </w:rPr>
        <w:t xml:space="preserve">Фонд</w:t>
      </w:r>
      <w:r>
        <w:rPr>
          <w:sz w:val="26"/>
          <w:szCs w:val="26"/>
        </w:rPr>
        <w:t xml:space="preserve"> пенсионного и социального страхования Российской Федерации</w:t>
      </w:r>
      <w:r>
        <w:rPr>
          <w:sz w:val="26"/>
          <w:szCs w:val="26"/>
        </w:rPr>
        <w:t xml:space="preserve">);».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22</w:t>
      </w:r>
      <w:r>
        <w:rPr>
          <w:sz w:val="26"/>
          <w:szCs w:val="26"/>
        </w:rPr>
        <w:t xml:space="preserve">. Абзац четвертый пункта 19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признать утратившим силу.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. В пункте 20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слова «казенное учреждение </w:t>
      </w:r>
      <w:r>
        <w:rPr>
          <w:sz w:val="26"/>
          <w:szCs w:val="26"/>
        </w:rPr>
        <w:t xml:space="preserve">Ханты-Мансийского автономного округа – Югры «</w:t>
      </w:r>
      <w:r>
        <w:rPr>
          <w:sz w:val="26"/>
          <w:szCs w:val="26"/>
        </w:rPr>
        <w:t xml:space="preserve">Междурече</w:t>
      </w:r>
      <w:r>
        <w:rPr>
          <w:sz w:val="26"/>
          <w:szCs w:val="26"/>
        </w:rPr>
        <w:t xml:space="preserve">нский центр занятости населения</w:t>
      </w:r>
      <w:r>
        <w:rPr>
          <w:sz w:val="26"/>
          <w:szCs w:val="26"/>
        </w:rPr>
        <w:t xml:space="preserve">» заменить словами </w:t>
      </w:r>
      <w:r>
        <w:rPr>
          <w:sz w:val="26"/>
          <w:szCs w:val="26"/>
        </w:rPr>
        <w:t xml:space="preserve">«Фонд</w:t>
      </w:r>
      <w:r>
        <w:rPr>
          <w:sz w:val="26"/>
          <w:szCs w:val="26"/>
        </w:rPr>
        <w:t xml:space="preserve"> пенсионного и социального страхования Российской Федерации»</w:t>
      </w:r>
      <w:r>
        <w:rPr>
          <w:sz w:val="26"/>
          <w:szCs w:val="26"/>
        </w:rPr>
        <w:t xml:space="preserve">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. В абзаце шестом пункта 26 раздела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«в Кондинском районе                     на 2019-</w:t>
      </w:r>
      <w:r>
        <w:rPr>
          <w:sz w:val="26"/>
          <w:szCs w:val="26"/>
        </w:rPr>
        <w:t xml:space="preserve">2025 годы и на период до 2030 года» исключить.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. В абзаце пятом пункта 48 раздела </w:t>
      </w:r>
      <w:r>
        <w:rPr>
          <w:sz w:val="26"/>
          <w:szCs w:val="26"/>
          <w:lang w:val="en-US"/>
        </w:rPr>
        <w:t xml:space="preserve">III</w:t>
      </w:r>
      <w:r>
        <w:rPr>
          <w:sz w:val="26"/>
          <w:szCs w:val="26"/>
        </w:rPr>
        <w:t xml:space="preserve"> слова «1 рабочего дня» заменить словами «3 рабочих дней».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абзаце втором пункта 50 раздела </w:t>
      </w:r>
      <w:r>
        <w:rPr>
          <w:sz w:val="26"/>
          <w:szCs w:val="26"/>
          <w:lang w:val="en-US"/>
        </w:rPr>
        <w:t xml:space="preserve">III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цифры «10» заменить цифрами «20».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. В абзаце девятом пункта 50 раздела </w:t>
      </w:r>
      <w:r>
        <w:rPr>
          <w:sz w:val="26"/>
          <w:szCs w:val="26"/>
          <w:lang w:val="en-US"/>
        </w:rPr>
        <w:t xml:space="preserve">III</w:t>
      </w:r>
      <w:r>
        <w:rPr>
          <w:sz w:val="26"/>
          <w:szCs w:val="26"/>
        </w:rPr>
        <w:t xml:space="preserve"> слова «20 рабочих дней» заменить словами «30 календарных дней».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28</w:t>
      </w:r>
      <w:r>
        <w:rPr>
          <w:sz w:val="26"/>
          <w:szCs w:val="26"/>
        </w:rPr>
        <w:t xml:space="preserve">. В абзаце четвертом пункта 51 раздела </w:t>
      </w:r>
      <w:r>
        <w:rPr>
          <w:sz w:val="26"/>
          <w:szCs w:val="26"/>
          <w:lang w:val="en-US"/>
        </w:rPr>
        <w:t xml:space="preserve">III</w:t>
      </w:r>
      <w:r>
        <w:rPr>
          <w:sz w:val="26"/>
          <w:szCs w:val="26"/>
        </w:rPr>
        <w:t xml:space="preserve"> цифры «20» заменить цифрами «5».</w:t>
      </w:r>
    </w:p>
    <w:p>
      <w:pPr>
        <w:pStyle w:val="Use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29</w:t>
      </w:r>
      <w:r>
        <w:rPr>
          <w:sz w:val="26"/>
          <w:szCs w:val="26"/>
        </w:rPr>
        <w:t xml:space="preserve">. В абзаце восьмом пункта 51 раздела </w:t>
      </w:r>
      <w:r>
        <w:rPr>
          <w:sz w:val="26"/>
          <w:szCs w:val="26"/>
          <w:lang w:val="en-US"/>
        </w:rPr>
        <w:t xml:space="preserve">III</w:t>
      </w:r>
      <w:r>
        <w:rPr>
          <w:sz w:val="26"/>
          <w:szCs w:val="26"/>
        </w:rPr>
        <w:t xml:space="preserve"> цифру «5» заменить цифрой «3».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после его обнародования.</w:t>
      </w: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8"/>
        <w:gridCol w:w="1852"/>
        <w:gridCol w:w="3334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лав</w:t>
            </w:r>
            <w:r>
              <w:rPr>
                <w:sz w:val="26"/>
                <w:szCs w:val="26"/>
              </w:rPr>
              <w:t xml:space="preserve">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23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left="59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.В.</w:t>
            </w:r>
            <w:r>
              <w:rPr>
                <w:sz w:val="26"/>
                <w:szCs w:val="26"/>
              </w:rPr>
              <w:t xml:space="preserve">Кривоногов</w:t>
            </w: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/Банк документов/П</w:t>
      </w:r>
      <w:r>
        <w:rPr>
          <w:color w:val="000000"/>
          <w:sz w:val="16"/>
          <w:szCs w:val="16"/>
        </w:rPr>
        <w:t xml:space="preserve">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2023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992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95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Arial" w:hAnsi="Arial" w:eastAsia="Courier New" w:cs="Arial"/>
        <w:sz w:val="22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55" w:hanging="49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69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0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72" w:hanging="180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,Title"/>
    <w:basedOn w:val="Normal"/>
    <w:next w:val="Title"/>
    <w:link w:val="UserStyle_1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2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">
    <w:name w:val="Название Знак,Title Знак"/>
    <w:next w:val="UserStyle_1"/>
    <w:link w:val="Title"/>
    <w:rPr>
      <w:rFonts w:ascii="TimesET" w:hAnsi="TimesET"/>
      <w:sz w:val="32"/>
      <w:szCs w:val="24"/>
    </w:rPr>
  </w:style>
  <w:style w:type="paragraph" w:styleId="BodyText">
    <w:name w:val="Основной текст"/>
    <w:basedOn w:val="Normal"/>
    <w:next w:val="BodyText"/>
    <w:link w:val="UserStyle_6"/>
    <w:pPr>
      <w:spacing w:after="120"/>
    </w:pPr>
    <w:rPr>
      <w:lang w:val="en-US" w:eastAsia="en-US"/>
    </w:rPr>
  </w:style>
  <w:style w:type="character" w:styleId="UserStyle_6">
    <w:name w:val="Основной текст Знак"/>
    <w:next w:val="UserStyle_6"/>
    <w:link w:val="BodyText"/>
    <w:rPr>
      <w:sz w:val="24"/>
      <w:szCs w:val="24"/>
      <w:lang w:val="en-US" w:eastAsia="en-US"/>
    </w:rPr>
  </w:style>
  <w:style w:type="paragraph" w:styleId="UserStyle_7">
    <w:name w:val="ConsPlusNormal"/>
    <w:next w:val="UserStyle_7"/>
    <w:link w:val="Normal"/>
    <w:uiPriority w:val="99"/>
    <w:qFormat/>
    <w:pPr>
      <w:widowControl w:val="off"/>
    </w:pPr>
    <w:rPr>
      <w:rFonts w:ascii="Arial" w:hAnsi="Arial" w:cs="Arial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8">
    <w:name w:val="ConsPlusNonformat"/>
    <w:next w:val="UserStyle_8"/>
    <w:link w:val="Normal"/>
    <w:uiPriority w:val="99"/>
    <w:rPr>
      <w:rFonts w:ascii="Courier New" w:hAnsi="Courier New" w:cs="Courier New"/>
      <w:lang w:val="ru-RU" w:eastAsia="en-US" w:bidi="ar-SA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character" w:styleId="UserStyle_2">
    <w:name w:val="Верхний колонтитул Знак"/>
    <w:next w:val="UserStyle_2"/>
    <w:link w:val="Header"/>
    <w:uiPriority w:val="99"/>
    <w:rPr>
      <w:sz w:val="24"/>
      <w:szCs w:val="24"/>
    </w:rPr>
  </w:style>
  <w:style w:type="paragraph" w:styleId="UserStyle_10">
    <w:name w:val="Знак"/>
    <w:basedOn w:val="Normal"/>
    <w:next w:val="UserStyle_1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">
    <w:name w:val="Без интервала"/>
    <w:next w:val="User"/>
    <w:link w:val="UserStyle_11"/>
    <w:uiPriority w:val="1"/>
    <w:qFormat/>
    <w:rPr>
      <w:sz w:val="24"/>
      <w:szCs w:val="24"/>
      <w:lang w:val="ru-RU" w:eastAsia="ru-RU" w:bidi="ar-SA"/>
    </w:rPr>
  </w:style>
  <w:style w:type="character" w:styleId="UserStyle_11">
    <w:name w:val="Без интервала Знак"/>
    <w:next w:val="UserStyle_11"/>
    <w:link w:val="User"/>
    <w:uiPriority w:val="1"/>
    <w:locked/>
    <w:rPr>
      <w:sz w:val="24"/>
      <w:szCs w:val="24"/>
    </w:rPr>
  </w:style>
  <w:style w:type="paragraph" w:styleId="UserStyle_12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3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14">
    <w:name w:val="ConsPlusTitle"/>
    <w:next w:val="UserStyle_14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Acetate">
    <w:name w:val="Текст выноски"/>
    <w:basedOn w:val="Normal"/>
    <w:next w:val="Acetate"/>
    <w:link w:val="UserStyle_16"/>
    <w:rPr>
      <w:rFonts w:ascii="Tahoma" w:hAnsi="Tahoma"/>
      <w:sz w:val="16"/>
      <w:szCs w:val="16"/>
      <w:lang w:val="en-US" w:eastAsia="en-US"/>
    </w:rPr>
  </w:style>
  <w:style w:type="character" w:styleId="UserStyle_16">
    <w:name w:val="Текст выноски Знак"/>
    <w:next w:val="UserStyle_16"/>
    <w:link w:val="Acetate"/>
    <w:rPr>
      <w:rFonts w:ascii="Tahoma" w:hAnsi="Tahoma"/>
      <w:sz w:val="16"/>
      <w:szCs w:val="16"/>
      <w:lang w:val="en-US" w:eastAsia="en-US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17">
    <w:name w:val="xl65"/>
    <w:basedOn w:val="Normal"/>
    <w:next w:val="UserStyle_17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8">
    <w:name w:val="xl66"/>
    <w:basedOn w:val="Normal"/>
    <w:next w:val="UserStyle_18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19">
    <w:name w:val="xl67"/>
    <w:basedOn w:val="Normal"/>
    <w:next w:val="UserStyle_19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0">
    <w:name w:val="xl68"/>
    <w:basedOn w:val="Normal"/>
    <w:next w:val="UserStyle_20"/>
    <w:link w:val="Normal"/>
    <w:pP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21">
    <w:name w:val="xl69"/>
    <w:basedOn w:val="Normal"/>
    <w:next w:val="UserStyle_21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22">
    <w:name w:val="xl70"/>
    <w:basedOn w:val="Normal"/>
    <w:next w:val="UserStyle_22"/>
    <w:link w:val="Normal"/>
    <w:pPr>
      <w:spacing w:before="100" w:beforeAutospacing="1" w:after="100" w:afterAutospacing="1"/>
    </w:pPr>
    <w:rPr>
      <w:b/>
      <w:bCs/>
    </w:rPr>
  </w:style>
  <w:style w:type="paragraph" w:styleId="UserStyle_23">
    <w:name w:val="xl71"/>
    <w:basedOn w:val="Normal"/>
    <w:next w:val="UserStyle_23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4">
    <w:name w:val="xl72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styleId="UserStyle_25">
    <w:name w:val="xl73"/>
    <w:basedOn w:val="Normal"/>
    <w:next w:val="UserStyle_2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6">
    <w:name w:val="xl74"/>
    <w:basedOn w:val="Normal"/>
    <w:next w:val="UserStyle_2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7">
    <w:name w:val="xl75"/>
    <w:basedOn w:val="Normal"/>
    <w:next w:val="UserStyle_2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8">
    <w:name w:val="xl76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9">
    <w:name w:val="xl77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0">
    <w:name w:val="xl78"/>
    <w:basedOn w:val="Normal"/>
    <w:next w:val="UserStyle_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1">
    <w:name w:val="xl79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32">
    <w:name w:val="xl80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3">
    <w:name w:val="xl81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4">
    <w:name w:val="xl82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5">
    <w:name w:val="xl83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6">
    <w:name w:val="xl84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7">
    <w:name w:val="xl85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38">
    <w:name w:val="xl86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39">
    <w:name w:val="xl87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40">
    <w:name w:val="xl88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1">
    <w:name w:val="xl89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2">
    <w:name w:val="xl90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16"/>
      <w:szCs w:val="16"/>
    </w:rPr>
  </w:style>
  <w:style w:type="paragraph" w:styleId="UserStyle_43">
    <w:name w:val="xl91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4">
    <w:name w:val="xl92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45">
    <w:name w:val="xl93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46">
    <w:name w:val="xl94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7">
    <w:name w:val="xl95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48">
    <w:name w:val="xl96"/>
    <w:basedOn w:val="Normal"/>
    <w:next w:val="UserStyle_48"/>
    <w:link w:val="Normal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49">
    <w:name w:val="xl97"/>
    <w:basedOn w:val="Normal"/>
    <w:next w:val="UserStyle_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0">
    <w:name w:val="xl98"/>
    <w:basedOn w:val="Normal"/>
    <w:next w:val="UserStyle_5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1">
    <w:name w:val="xl99"/>
    <w:basedOn w:val="Normal"/>
    <w:next w:val="UserStyle_5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2">
    <w:name w:val="xl100"/>
    <w:basedOn w:val="Normal"/>
    <w:next w:val="UserStyle_5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3">
    <w:name w:val="xl101"/>
    <w:basedOn w:val="Normal"/>
    <w:next w:val="UserStyle_5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4">
    <w:name w:val="xl102"/>
    <w:basedOn w:val="Normal"/>
    <w:next w:val="UserStyle_5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5">
    <w:name w:val="xl103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6">
    <w:name w:val="xl104"/>
    <w:basedOn w:val="Normal"/>
    <w:next w:val="UserStyle_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7">
    <w:name w:val="xl105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58">
    <w:name w:val="xl106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59">
    <w:name w:val="xl107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0">
    <w:name w:val="xl108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1">
    <w:name w:val="xl109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62">
    <w:name w:val="xl110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63">
    <w:name w:val="xl111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4">
    <w:name w:val="xl112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5">
    <w:name w:val="xl113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6">
    <w:name w:val="xl114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67">
    <w:name w:val="xl115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68">
    <w:name w:val="xl116"/>
    <w:basedOn w:val="Normal"/>
    <w:next w:val="UserStyle_6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9">
    <w:name w:val="xl117"/>
    <w:basedOn w:val="Normal"/>
    <w:next w:val="UserStyle_69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0">
    <w:name w:val="xl118"/>
    <w:basedOn w:val="Normal"/>
    <w:next w:val="UserStyle_70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1">
    <w:name w:val="xl119"/>
    <w:basedOn w:val="Normal"/>
    <w:next w:val="UserStyle_71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2">
    <w:name w:val="xl120"/>
    <w:basedOn w:val="Normal"/>
    <w:next w:val="UserStyle_72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3">
    <w:name w:val="xl121"/>
    <w:basedOn w:val="Normal"/>
    <w:next w:val="UserStyle_73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4">
    <w:name w:val="xl122"/>
    <w:basedOn w:val="Normal"/>
    <w:next w:val="UserStyle_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5">
    <w:name w:val="xl123"/>
    <w:basedOn w:val="Normal"/>
    <w:next w:val="UserStyle_7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6">
    <w:name w:val="xl124"/>
    <w:basedOn w:val="Normal"/>
    <w:next w:val="UserStyle_76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7">
    <w:name w:val="xl125"/>
    <w:basedOn w:val="Normal"/>
    <w:next w:val="UserStyle_7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8">
    <w:name w:val="xl126"/>
    <w:basedOn w:val="Normal"/>
    <w:next w:val="UserStyle_78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9">
    <w:name w:val="xl127"/>
    <w:basedOn w:val="Normal"/>
    <w:next w:val="UserStyle_79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0">
    <w:name w:val="xl128"/>
    <w:basedOn w:val="Normal"/>
    <w:next w:val="UserStyle_80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1">
    <w:name w:val="xl129"/>
    <w:basedOn w:val="Normal"/>
    <w:next w:val="UserStyle_81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2">
    <w:name w:val="xl130"/>
    <w:basedOn w:val="Normal"/>
    <w:next w:val="UserStyle_82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3">
    <w:name w:val="xl131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4">
    <w:name w:val="xl132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5">
    <w:name w:val="xl133"/>
    <w:basedOn w:val="Normal"/>
    <w:next w:val="UserStyle_8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6">
    <w:name w:val="xl134"/>
    <w:basedOn w:val="Normal"/>
    <w:next w:val="UserStyle_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7">
    <w:name w:val="xl135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8">
    <w:name w:val="xl136"/>
    <w:basedOn w:val="Normal"/>
    <w:next w:val="UserStyle_88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9">
    <w:name w:val="xl137"/>
    <w:basedOn w:val="Normal"/>
    <w:next w:val="UserStyle_8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0">
    <w:name w:val="xl138"/>
    <w:basedOn w:val="Normal"/>
    <w:next w:val="UserStyle_90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1">
    <w:name w:val="xl139"/>
    <w:basedOn w:val="Normal"/>
    <w:next w:val="UserStyle_91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2">
    <w:name w:val="xl140"/>
    <w:basedOn w:val="Normal"/>
    <w:next w:val="UserStyle_92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3">
    <w:name w:val="xl141"/>
    <w:basedOn w:val="Normal"/>
    <w:next w:val="UserStyle_93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4">
    <w:name w:val="xl142"/>
    <w:basedOn w:val="Normal"/>
    <w:next w:val="UserStyle_94"/>
    <w:link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95">
    <w:name w:val="xl143"/>
    <w:basedOn w:val="Normal"/>
    <w:next w:val="UserStyle_95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6">
    <w:name w:val="xl144"/>
    <w:basedOn w:val="Normal"/>
    <w:next w:val="UserStyle_96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7">
    <w:name w:val="xl145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8">
    <w:name w:val="xl146"/>
    <w:basedOn w:val="Normal"/>
    <w:next w:val="UserStyle_9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9">
    <w:name w:val="xl147"/>
    <w:basedOn w:val="Normal"/>
    <w:next w:val="UserStyle_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0">
    <w:name w:val="xl148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101">
    <w:name w:val="xl149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02">
    <w:name w:val="xl150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3">
    <w:name w:val="xl151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104">
    <w:name w:val="xl152"/>
    <w:basedOn w:val="Normal"/>
    <w:next w:val="UserStyle_104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5">
    <w:name w:val="xl153"/>
    <w:basedOn w:val="Normal"/>
    <w:next w:val="UserStyle_10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6">
    <w:name w:val="xl154"/>
    <w:basedOn w:val="Normal"/>
    <w:next w:val="UserStyle_10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7">
    <w:name w:val="xl155"/>
    <w:basedOn w:val="Normal"/>
    <w:next w:val="UserStyle_10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8">
    <w:name w:val="xl156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9">
    <w:name w:val="xl157"/>
    <w:basedOn w:val="Normal"/>
    <w:next w:val="UserStyle_109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0">
    <w:name w:val="xl158"/>
    <w:basedOn w:val="Normal"/>
    <w:next w:val="UserStyle_110"/>
    <w:link w:val="Normal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1">
    <w:name w:val="xl159"/>
    <w:basedOn w:val="Normal"/>
    <w:next w:val="UserStyle_111"/>
    <w:link w:val="Normal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2">
    <w:name w:val="xl160"/>
    <w:basedOn w:val="Normal"/>
    <w:next w:val="UserStyle_112"/>
    <w:link w:val="Normal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3">
    <w:name w:val="msonormal"/>
    <w:basedOn w:val="Normal"/>
    <w:next w:val="UserStyle_113"/>
    <w:link w:val="Normal"/>
    <w:pPr>
      <w:spacing w:before="100" w:beforeAutospacing="1" w:after="100" w:afterAutospacing="1"/>
    </w:pPr>
  </w:style>
  <w:style w:type="paragraph" w:styleId="UserStyle_114">
    <w:name w:val="xl161"/>
    <w:basedOn w:val="Normal"/>
    <w:next w:val="UserStyle_114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15">
    <w:name w:val="xl162"/>
    <w:basedOn w:val="Normal"/>
    <w:next w:val="UserStyle_1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6">
    <w:name w:val="xl163"/>
    <w:basedOn w:val="Normal"/>
    <w:next w:val="UserStyle_11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7">
    <w:name w:val="font5"/>
    <w:basedOn w:val="Normal"/>
    <w:next w:val="UserStyle_117"/>
    <w:link w:val="Normal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118">
    <w:name w:val="font6"/>
    <w:basedOn w:val="Normal"/>
    <w:next w:val="UserStyle_118"/>
    <w:link w:val="Normal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styleId="UserStyle_119">
    <w:name w:val="xl164"/>
    <w:basedOn w:val="Normal"/>
    <w:next w:val="UserStyle_11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20">
    <w:name w:val="Title!Название НПА"/>
    <w:basedOn w:val="Normal"/>
    <w:next w:val="UserStyle_120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9783</Characters>
  <CharactersWithSpaces>11477</CharactersWithSpaces>
  <DocSecurity>0</DocSecurity>
  <HyperlinksChanged>false</HyperlinksChanged>
  <Lines>81</Lines>
  <Pages>5</Pages>
  <Paragraphs>22</Paragraphs>
  <ScaleCrop>false</ScaleCrop>
  <SharedDoc>false</SharedDoc>
  <Template>Normal.dotm</Template>
  <Words>1716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9</cp:revision>
  <dcterms:created xsi:type="dcterms:W3CDTF">2023-06-27T04:16:00Z</dcterms:created>
  <dcterms:modified xsi:type="dcterms:W3CDTF">2023-06-30T05:25:00Z</dcterms:modified>
  <cp:version>917504</cp:version>
</cp:coreProperties>
</file>