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5406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E009F0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E009F0">
              <w:rPr>
                <w:color w:val="000000"/>
                <w:sz w:val="28"/>
                <w:szCs w:val="28"/>
                <w:lang w:val="en-US"/>
              </w:rPr>
              <w:t>1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0948FA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602CF">
              <w:rPr>
                <w:color w:val="000000"/>
                <w:sz w:val="28"/>
                <w:szCs w:val="28"/>
              </w:rPr>
              <w:t>13</w:t>
            </w:r>
            <w:r w:rsidR="000948FA">
              <w:rPr>
                <w:color w:val="000000"/>
                <w:sz w:val="28"/>
                <w:szCs w:val="28"/>
              </w:rPr>
              <w:t>95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937603" w:rsidRDefault="000948FA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июня 2022 года № 1435</w:t>
            </w:r>
            <w:r w:rsidR="007951AF" w:rsidRPr="002F44E8">
              <w:rPr>
                <w:sz w:val="28"/>
                <w:szCs w:val="28"/>
              </w:rPr>
              <w:t xml:space="preserve">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«</w:t>
            </w:r>
            <w:r w:rsidR="000948FA" w:rsidRPr="000948FA">
              <w:rPr>
                <w:sz w:val="28"/>
                <w:szCs w:val="28"/>
              </w:rPr>
              <w:t>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      </w:r>
            <w:r w:rsidRPr="002F44E8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51AF" w:rsidRPr="006B79E1" w:rsidRDefault="007951AF" w:rsidP="0016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</w:t>
      </w:r>
      <w:r w:rsidR="00361F22">
        <w:rPr>
          <w:color w:val="000000"/>
          <w:spacing w:val="-1"/>
          <w:sz w:val="28"/>
          <w:szCs w:val="28"/>
        </w:rPr>
        <w:t xml:space="preserve">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Pr="001A3833">
        <w:rPr>
          <w:color w:val="000000"/>
          <w:spacing w:val="-1"/>
          <w:sz w:val="28"/>
          <w:szCs w:val="28"/>
        </w:rPr>
        <w:t xml:space="preserve">от 17 ноября 2023 года </w:t>
      </w:r>
      <w:r w:rsidR="00361F22">
        <w:rPr>
          <w:color w:val="000000"/>
          <w:spacing w:val="-1"/>
          <w:sz w:val="28"/>
          <w:szCs w:val="28"/>
        </w:rPr>
        <w:t xml:space="preserve">            </w:t>
      </w:r>
      <w:r w:rsidRPr="001A3833">
        <w:rPr>
          <w:color w:val="000000"/>
          <w:spacing w:val="-1"/>
          <w:sz w:val="28"/>
          <w:szCs w:val="28"/>
        </w:rPr>
        <w:t>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7951AF" w:rsidRDefault="001602CF" w:rsidP="000948F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7951AF" w:rsidRPr="002F44E8">
        <w:rPr>
          <w:color w:val="000000"/>
          <w:spacing w:val="-1"/>
          <w:sz w:val="28"/>
          <w:szCs w:val="28"/>
        </w:rPr>
        <w:t xml:space="preserve">Внести </w:t>
      </w:r>
      <w:r w:rsidR="00937603" w:rsidRPr="00937603">
        <w:rPr>
          <w:color w:val="000000"/>
          <w:spacing w:val="-1"/>
          <w:sz w:val="28"/>
          <w:szCs w:val="28"/>
        </w:rPr>
        <w:t>в постановление администрации Кондинского района</w:t>
      </w:r>
      <w:r w:rsidR="00937603">
        <w:rPr>
          <w:color w:val="000000"/>
          <w:spacing w:val="-1"/>
          <w:sz w:val="28"/>
          <w:szCs w:val="28"/>
        </w:rPr>
        <w:t xml:space="preserve">                              </w:t>
      </w:r>
      <w:r w:rsidR="000948FA" w:rsidRPr="000948FA">
        <w:rPr>
          <w:color w:val="000000"/>
          <w:spacing w:val="-1"/>
          <w:sz w:val="28"/>
          <w:szCs w:val="28"/>
        </w:rPr>
        <w:t>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 w:rsidR="000948FA">
        <w:rPr>
          <w:color w:val="000000"/>
          <w:spacing w:val="-1"/>
          <w:sz w:val="28"/>
          <w:szCs w:val="28"/>
        </w:rPr>
        <w:t xml:space="preserve"> </w:t>
      </w:r>
      <w:r w:rsidR="007951AF" w:rsidRPr="002F44E8">
        <w:rPr>
          <w:color w:val="000000"/>
          <w:spacing w:val="-1"/>
          <w:sz w:val="28"/>
          <w:szCs w:val="28"/>
        </w:rPr>
        <w:t xml:space="preserve">следующие изменения: </w:t>
      </w:r>
    </w:p>
    <w:p w:rsidR="00937603" w:rsidRPr="00937603" w:rsidRDefault="00937603" w:rsidP="0093760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Пункт 5 </w:t>
      </w:r>
      <w:r w:rsidRPr="00937603">
        <w:rPr>
          <w:color w:val="000000"/>
          <w:spacing w:val="-1"/>
          <w:sz w:val="28"/>
          <w:szCs w:val="28"/>
        </w:rPr>
        <w:t>постановления изложить в следующей редакции:</w:t>
      </w:r>
    </w:p>
    <w:p w:rsidR="00937603" w:rsidRPr="00937603" w:rsidRDefault="00937603" w:rsidP="00937603">
      <w:pPr>
        <w:ind w:firstLine="709"/>
        <w:jc w:val="both"/>
        <w:rPr>
          <w:sz w:val="28"/>
          <w:szCs w:val="28"/>
        </w:rPr>
      </w:pPr>
      <w:r w:rsidRPr="00937603">
        <w:rPr>
          <w:color w:val="000000"/>
          <w:spacing w:val="-1"/>
          <w:sz w:val="28"/>
          <w:szCs w:val="28"/>
        </w:rPr>
        <w:t xml:space="preserve">«5. </w:t>
      </w:r>
      <w:r w:rsidRPr="00937603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937603">
        <w:rPr>
          <w:color w:val="000000"/>
          <w:spacing w:val="-1"/>
          <w:sz w:val="28"/>
          <w:szCs w:val="28"/>
        </w:rPr>
        <w:t>».</w:t>
      </w:r>
    </w:p>
    <w:p w:rsidR="007951AF" w:rsidRPr="00C428FB" w:rsidRDefault="007951AF" w:rsidP="007951AF">
      <w:pPr>
        <w:ind w:firstLine="709"/>
        <w:jc w:val="both"/>
        <w:rPr>
          <w:sz w:val="28"/>
          <w:szCs w:val="28"/>
        </w:rPr>
      </w:pPr>
      <w:r w:rsidRPr="00937603">
        <w:rPr>
          <w:sz w:val="28"/>
          <w:szCs w:val="28"/>
        </w:rPr>
        <w:t>В приложении к постановлению</w:t>
      </w:r>
      <w:r w:rsidRPr="00C428FB">
        <w:rPr>
          <w:sz w:val="28"/>
          <w:szCs w:val="28"/>
        </w:rPr>
        <w:t>:</w:t>
      </w:r>
    </w:p>
    <w:p w:rsidR="007951AF" w:rsidRPr="007E591E" w:rsidRDefault="00937603" w:rsidP="0036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361F22">
        <w:rPr>
          <w:sz w:val="28"/>
          <w:szCs w:val="28"/>
        </w:rPr>
        <w:t xml:space="preserve">. </w:t>
      </w:r>
      <w:r w:rsidR="007951AF" w:rsidRPr="007E591E">
        <w:rPr>
          <w:sz w:val="28"/>
          <w:szCs w:val="28"/>
        </w:rPr>
        <w:t xml:space="preserve">Главу 4 раздела </w:t>
      </w:r>
      <w:r w:rsidR="007951AF" w:rsidRPr="007E591E">
        <w:rPr>
          <w:sz w:val="28"/>
          <w:szCs w:val="28"/>
          <w:lang w:val="en-US"/>
        </w:rPr>
        <w:t>I</w:t>
      </w:r>
      <w:r w:rsidR="007951AF" w:rsidRPr="007E591E">
        <w:rPr>
          <w:sz w:val="28"/>
          <w:szCs w:val="28"/>
        </w:rPr>
        <w:t xml:space="preserve"> дополнить статьей 12</w:t>
      </w:r>
      <w:r w:rsidR="007951AF" w:rsidRPr="007E591E">
        <w:rPr>
          <w:sz w:val="28"/>
          <w:szCs w:val="28"/>
          <w:vertAlign w:val="superscript"/>
        </w:rPr>
        <w:t>1</w:t>
      </w:r>
      <w:r w:rsidR="007951AF" w:rsidRPr="007E591E">
        <w:rPr>
          <w:sz w:val="28"/>
          <w:szCs w:val="28"/>
        </w:rPr>
        <w:t xml:space="preserve"> следующего содержания: </w:t>
      </w:r>
    </w:p>
    <w:p w:rsidR="00361F22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sz w:val="28"/>
          <w:szCs w:val="28"/>
        </w:rPr>
        <w:t>«Статья 12</w:t>
      </w:r>
      <w:r w:rsidRPr="007E591E">
        <w:rPr>
          <w:sz w:val="28"/>
          <w:szCs w:val="28"/>
          <w:vertAlign w:val="superscript"/>
        </w:rPr>
        <w:t>1</w:t>
      </w:r>
      <w:r w:rsidRPr="007E591E">
        <w:rPr>
          <w:sz w:val="28"/>
          <w:szCs w:val="28"/>
        </w:rPr>
        <w:t xml:space="preserve">. </w:t>
      </w:r>
      <w:r w:rsidRPr="007E591E">
        <w:rPr>
          <w:bCs/>
          <w:color w:val="000000"/>
          <w:sz w:val="28"/>
          <w:szCs w:val="28"/>
          <w:lang w:bidi="ru-RU"/>
        </w:rPr>
        <w:t xml:space="preserve">Архитектурно-градостроительный облик объектов </w:t>
      </w:r>
    </w:p>
    <w:p w:rsidR="007951AF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bCs/>
          <w:color w:val="000000"/>
          <w:sz w:val="28"/>
          <w:szCs w:val="28"/>
          <w:lang w:bidi="ru-RU"/>
        </w:rPr>
        <w:t>капитального строительства</w:t>
      </w:r>
    </w:p>
    <w:p w:rsidR="00361F22" w:rsidRPr="007E591E" w:rsidRDefault="00361F22" w:rsidP="007951AF">
      <w:pPr>
        <w:widowControl w:val="0"/>
        <w:tabs>
          <w:tab w:val="left" w:pos="1514"/>
        </w:tabs>
        <w:ind w:firstLine="709"/>
        <w:jc w:val="center"/>
        <w:rPr>
          <w:sz w:val="28"/>
          <w:szCs w:val="28"/>
          <w:lang w:eastAsia="en-US"/>
        </w:rPr>
      </w:pPr>
    </w:p>
    <w:p w:rsidR="007951AF" w:rsidRPr="005A3F57" w:rsidRDefault="00361F22" w:rsidP="00361F22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7951AF" w:rsidRPr="00AF767D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</w:t>
      </w:r>
      <w:r w:rsidR="007951AF" w:rsidRPr="005A3F57">
        <w:rPr>
          <w:color w:val="000000"/>
          <w:sz w:val="28"/>
          <w:szCs w:val="28"/>
          <w:lang w:bidi="ru-RU"/>
        </w:rPr>
        <w:t>архитектурный облик которых не подлежит согласованию в соответствии с требованиями действующего законодательства).</w:t>
      </w:r>
    </w:p>
    <w:p w:rsidR="007951AF" w:rsidRPr="005A3F57" w:rsidRDefault="00361F22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2. </w:t>
      </w:r>
      <w:r w:rsidR="007951AF"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 w:rsidR="00A921B7" w:rsidRPr="005A3F57">
        <w:rPr>
          <w:color w:val="000000"/>
          <w:sz w:val="28"/>
          <w:szCs w:val="28"/>
          <w:lang w:bidi="ru-RU"/>
        </w:rPr>
        <w:t xml:space="preserve"> </w:t>
      </w:r>
      <w:r w:rsidR="007951AF" w:rsidRPr="005A3F57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951AF" w:rsidRPr="005A3F57" w:rsidRDefault="00A921B7" w:rsidP="00A921B7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1) </w:t>
      </w:r>
      <w:r w:rsidR="007951AF" w:rsidRPr="005A3F57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951AF" w:rsidRPr="005A3F57" w:rsidRDefault="00A921B7" w:rsidP="00A921B7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2) </w:t>
      </w:r>
      <w:r w:rsidR="007951AF" w:rsidRPr="005A3F57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3) </w:t>
      </w:r>
      <w:r w:rsidR="007951AF" w:rsidRPr="005A3F57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4) </w:t>
      </w:r>
      <w:r w:rsidR="007951AF" w:rsidRPr="005A3F57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5) </w:t>
      </w:r>
      <w:r w:rsidR="007951AF" w:rsidRPr="005A3F57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6) </w:t>
      </w:r>
      <w:r w:rsidR="007951AF" w:rsidRPr="005A3F57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951AF" w:rsidRPr="005A3F57" w:rsidRDefault="00A921B7" w:rsidP="00A921B7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7) </w:t>
      </w:r>
      <w:r w:rsidR="007951AF" w:rsidRPr="005A3F57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8) </w:t>
      </w:r>
      <w:r w:rsidR="007951AF" w:rsidRPr="005A3F57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5A3F57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951AF" w:rsidRPr="007E591E" w:rsidRDefault="006B624E" w:rsidP="006B624E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3. </w:t>
      </w:r>
      <w:r w:rsidR="007951AF" w:rsidRPr="005A3F57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951AF" w:rsidRPr="007E591E" w:rsidRDefault="006B624E" w:rsidP="006B624E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951AF" w:rsidRPr="007E591E" w:rsidRDefault="006B624E" w:rsidP="006B624E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 w:rsidR="00227A9D">
        <w:rPr>
          <w:color w:val="000000"/>
          <w:sz w:val="28"/>
          <w:szCs w:val="28"/>
          <w:lang w:bidi="ru-RU"/>
        </w:rPr>
        <w:t>;</w:t>
      </w:r>
    </w:p>
    <w:p w:rsidR="007951AF" w:rsidRPr="007E591E" w:rsidRDefault="006B624E" w:rsidP="006B624E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227A9D">
        <w:rPr>
          <w:color w:val="000000"/>
          <w:sz w:val="28"/>
          <w:szCs w:val="28"/>
          <w:lang w:bidi="ru-RU"/>
        </w:rPr>
        <w:t>колористических</w:t>
      </w:r>
      <w:r w:rsidR="007951AF" w:rsidRPr="007E591E">
        <w:rPr>
          <w:color w:val="000000"/>
          <w:sz w:val="28"/>
          <w:szCs w:val="28"/>
          <w:lang w:bidi="ru-RU"/>
        </w:rPr>
        <w:t xml:space="preserve"> решени</w:t>
      </w:r>
      <w:r w:rsidR="00227A9D">
        <w:rPr>
          <w:color w:val="000000"/>
          <w:sz w:val="28"/>
          <w:szCs w:val="28"/>
          <w:lang w:bidi="ru-RU"/>
        </w:rPr>
        <w:t>й</w:t>
      </w:r>
      <w:r w:rsidR="007951AF" w:rsidRPr="007E591E">
        <w:rPr>
          <w:color w:val="000000"/>
          <w:sz w:val="28"/>
          <w:szCs w:val="28"/>
          <w:lang w:bidi="ru-RU"/>
        </w:rPr>
        <w:t xml:space="preserve"> </w:t>
      </w:r>
      <w:r w:rsidR="00227A9D">
        <w:rPr>
          <w:color w:val="000000"/>
          <w:sz w:val="28"/>
          <w:szCs w:val="28"/>
          <w:lang w:bidi="ru-RU"/>
        </w:rPr>
        <w:t>соответствующих</w:t>
      </w:r>
      <w:r w:rsidR="007951AF" w:rsidRPr="007E591E">
        <w:rPr>
          <w:color w:val="000000"/>
          <w:sz w:val="28"/>
          <w:szCs w:val="28"/>
          <w:lang w:bidi="ru-RU"/>
        </w:rPr>
        <w:t xml:space="preserve"> международной классификации цветов </w:t>
      </w:r>
      <w:r w:rsidR="007951AF" w:rsidRPr="007E591E">
        <w:rPr>
          <w:color w:val="000000"/>
          <w:sz w:val="28"/>
          <w:szCs w:val="28"/>
          <w:lang w:eastAsia="en-US" w:bidi="en-US"/>
        </w:rPr>
        <w:t>(</w:t>
      </w:r>
      <w:r w:rsidR="007951AF" w:rsidRPr="007E591E">
        <w:rPr>
          <w:color w:val="000000"/>
          <w:sz w:val="28"/>
          <w:szCs w:val="28"/>
          <w:lang w:val="en-US" w:eastAsia="en-US" w:bidi="en-US"/>
        </w:rPr>
        <w:t>RAL</w:t>
      </w:r>
      <w:r w:rsidR="007951AF" w:rsidRPr="007E591E">
        <w:rPr>
          <w:color w:val="000000"/>
          <w:sz w:val="28"/>
          <w:szCs w:val="28"/>
          <w:lang w:eastAsia="en-US" w:bidi="en-US"/>
        </w:rPr>
        <w:t>).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lastRenderedPageBreak/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951AF" w:rsidRPr="007E591E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7951AF" w:rsidRPr="007E591E">
        <w:rPr>
          <w:color w:val="000000"/>
          <w:sz w:val="28"/>
          <w:szCs w:val="28"/>
          <w:lang w:bidi="ru-RU"/>
        </w:rPr>
        <w:t xml:space="preserve"> составе проектно-сметной документации в обязательном порядке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7951AF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7E591E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7951AF" w:rsidRPr="007E591E" w:rsidRDefault="007951AF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1133"/>
        <w:gridCol w:w="1653"/>
        <w:gridCol w:w="1750"/>
        <w:gridCol w:w="1176"/>
      </w:tblGrid>
      <w:tr w:rsidR="007951AF" w:rsidRPr="00227A9D" w:rsidTr="00126A39">
        <w:trPr>
          <w:trHeight w:val="6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RAL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 Classic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6" type="#_x0000_t75" style="width:84.15pt;height:23.4pt;visibility:visible;mso-wrap-style:square">
                  <v:imagedata r:id="rId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7" type="#_x0000_t75" style="width:80.4pt;height:28.05pt;visibility:visible;mso-wrap-style:square">
                  <v:imagedata r:id="rId1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8" type="#_x0000_t75" style="width:83.2pt;height:26.2pt;visibility:visible;mso-wrap-style:square">
                  <v:imagedata r:id="rId1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5pt;height:27.1pt;visibility:visible;mso-wrap-style:square">
                  <v:imagedata r:id="rId1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0" type="#_x0000_t75" style="width:83.2pt;height:24.3pt;visibility:visible;mso-wrap-style:square">
                  <v:imagedata r:id="rId1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1" type="#_x0000_t75" style="width:81.35pt;height:24.3pt;visibility:visible;mso-wrap-style:square">
                  <v:imagedata r:id="rId1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2" type="#_x0000_t75" style="width:84.1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Оливково-ж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3" type="#_x0000_t75" style="width:81.35pt;height:26.2pt;visibility:visible;mso-wrap-style:square">
                  <v:imagedata r:id="rId1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4" type="#_x0000_t75" style="width:87.9pt;height:29pt;visibility:visible;mso-wrap-style:square">
                  <v:imagedata r:id="rId1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5" type="#_x0000_t75" style="width:81.35pt;height:29.9pt;visibility:visible;mso-wrap-style:square">
                  <v:imagedata r:id="rId1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6" type="#_x0000_t75" style="width:86.95pt;height:28.05pt;visibility:visible;mso-wrap-style:square">
                  <v:imagedata r:id="rId1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7" type="#_x0000_t75" style="width:79.5pt;height:29.9pt;visibility:visible;mso-wrap-style:square">
                  <v:imagedata r:id="rId2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8" type="#_x0000_t75" style="width:86.05pt;height:27.1pt;visibility:visible;mso-wrap-style:square">
                  <v:imagedata r:id="rId2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9" type="#_x0000_t75" style="width:79.5pt;height:26.2pt;visibility:visible;mso-wrap-style:square">
                  <v:imagedata r:id="rId2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7951AF" w:rsidRPr="00227A9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0" type="#_x0000_t75" style="width:86.95pt;height:28.05pt;visibility:visible;mso-wrap-style:square">
                  <v:imagedata r:id="rId2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1" type="#_x0000_t75" style="width:80.4pt;height:26.2pt;visibility:visible;mso-wrap-style:square">
                  <v:imagedata r:id="rId2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2" type="#_x0000_t75" style="width:84.15pt;height:25.25pt;visibility:visible;mso-wrap-style:square">
                  <v:imagedata r:id="rId2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3" type="#_x0000_t75" style="width:82.3pt;height:26.2pt;visibility:visible;mso-wrap-style:square">
                  <v:imagedata r:id="rId2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4" type="#_x0000_t75" style="width:85.1pt;height:28.05pt;visibility:visible;mso-wrap-style:square">
                  <v:imagedata r:id="rId2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5" type="#_x0000_t75" style="width:81.35pt;height:28.05pt;visibility:visible;mso-wrap-style:square">
                  <v:imagedata r:id="rId2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7951AF" w:rsidRPr="00227A9D" w:rsidTr="00126A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6" type="#_x0000_t75" style="width:84.15pt;height:26.2pt;visibility:visible;mso-wrap-style:square">
                  <v:imagedata r:id="rId2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7" type="#_x0000_t75" style="width:85.1pt;height:28.05pt;visibility:visible;mso-wrap-style:square">
                  <v:imagedata r:id="rId3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8" type="#_x0000_t75" style="width:83.2pt;height:28.05pt;visibility:visible;mso-wrap-style:square">
                  <v:imagedata r:id="rId3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Ч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рн</w:t>
            </w:r>
            <w:r w:rsidR="00126A39">
              <w:rPr>
                <w:sz w:val="20"/>
                <w:szCs w:val="20"/>
                <w:lang w:eastAsia="en-US"/>
              </w:rPr>
              <w:t>о-зеле</w:t>
            </w:r>
            <w:r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9" type="#_x0000_t75" style="width:86.95pt;height:28.05pt;visibility:visible;mso-wrap-style:square">
                  <v:imagedata r:id="rId3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Default="003C3A23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227A9D">
        <w:rPr>
          <w:color w:val="000000"/>
          <w:sz w:val="28"/>
          <w:szCs w:val="28"/>
          <w:lang w:bidi="ru-RU"/>
        </w:rPr>
        <w:t xml:space="preserve">вета, рекомендуемые для цветового решения кровель зданий: </w:t>
      </w:r>
    </w:p>
    <w:p w:rsidR="00227A9D" w:rsidRP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2182"/>
        <w:gridCol w:w="1109"/>
        <w:gridCol w:w="1858"/>
        <w:gridCol w:w="1624"/>
        <w:gridCol w:w="1108"/>
      </w:tblGrid>
      <w:tr w:rsidR="007951AF" w:rsidRPr="00227A9D" w:rsidTr="005A3F57">
        <w:trPr>
          <w:trHeight w:val="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50" type="#_x0000_t75" style="width:86.05pt;height:29.9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85pt;height:29.9pt;visibility:visible;mso-wrap-style:squar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pict>
                <v:shape id="_x0000_i1052" type="#_x0000_t75" style="width:85.1pt;height:30.85pt;visibility:visible;mso-wrap-style:square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7.9pt;height:29pt;visibility:visible;mso-wrap-style:square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4" type="#_x0000_t75" style="width:84.15pt;height:29pt;visibility:visible;mso-wrap-style:square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рно-зел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E5406C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7.9pt;height:29pt;visibility:visible;mso-wrap-style:squar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937603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цветовые гаммы приглушенных и «не п</w:t>
      </w:r>
      <w:r w:rsidR="00126A39">
        <w:rPr>
          <w:color w:val="000000"/>
          <w:sz w:val="28"/>
          <w:szCs w:val="28"/>
          <w:lang w:bidi="ru-RU"/>
        </w:rPr>
        <w:t>е</w:t>
      </w:r>
      <w:r w:rsidRPr="007951AF">
        <w:rPr>
          <w:color w:val="000000"/>
          <w:sz w:val="28"/>
          <w:szCs w:val="28"/>
          <w:lang w:bidi="ru-RU"/>
        </w:rPr>
        <w:t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C62C7D">
        <w:rPr>
          <w:color w:val="000000"/>
          <w:sz w:val="28"/>
          <w:szCs w:val="28"/>
          <w:lang w:bidi="ru-RU"/>
        </w:rPr>
        <w:t>угое</w:t>
      </w:r>
      <w:r w:rsidRPr="007951AF">
        <w:rPr>
          <w:color w:val="000000"/>
          <w:sz w:val="28"/>
          <w:szCs w:val="28"/>
          <w:lang w:bidi="ru-RU"/>
        </w:rPr>
        <w:t xml:space="preserve">. 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7951AF" w:rsidRPr="007951AF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общественных зданий: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</w:t>
      </w:r>
      <w:r>
        <w:rPr>
          <w:color w:val="000000"/>
          <w:sz w:val="28"/>
          <w:szCs w:val="28"/>
          <w:lang w:bidi="ru-RU"/>
        </w:rPr>
        <w:t>,</w:t>
      </w:r>
      <w:r w:rsidR="007951AF" w:rsidRPr="007951AF">
        <w:rPr>
          <w:color w:val="000000"/>
          <w:sz w:val="28"/>
          <w:szCs w:val="28"/>
          <w:lang w:bidi="ru-RU"/>
        </w:rPr>
        <w:t xml:space="preserve">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</w:t>
      </w:r>
      <w:r>
        <w:rPr>
          <w:color w:val="000000"/>
          <w:sz w:val="28"/>
          <w:szCs w:val="28"/>
          <w:lang w:bidi="ru-RU"/>
        </w:rPr>
        <w:t xml:space="preserve"> либо рисунка;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7951AF" w:rsidRPr="007951AF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7951AF" w:rsidRPr="007951AF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жилых домов: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="007951AF" w:rsidRPr="007951AF">
        <w:rPr>
          <w:color w:val="000000"/>
          <w:sz w:val="28"/>
          <w:szCs w:val="28"/>
          <w:lang w:bidi="ru-RU"/>
        </w:rPr>
        <w:t>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</w:t>
      </w:r>
      <w:r>
        <w:rPr>
          <w:color w:val="000000"/>
          <w:sz w:val="28"/>
          <w:szCs w:val="28"/>
          <w:lang w:bidi="ru-RU"/>
        </w:rPr>
        <w:t>одной группы и здания;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</w:t>
      </w:r>
      <w:r>
        <w:rPr>
          <w:color w:val="000000"/>
          <w:sz w:val="28"/>
          <w:szCs w:val="28"/>
          <w:lang w:bidi="ru-RU"/>
        </w:rPr>
        <w:t>ой гамме, отделочным материалам;</w:t>
      </w:r>
    </w:p>
    <w:p w:rsidR="007951AF" w:rsidRPr="007951AF" w:rsidRDefault="0054228E" w:rsidP="0054228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</w:t>
      </w:r>
      <w:r w:rsidR="007951AF" w:rsidRPr="007951AF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наружных кондиционеров и антенн типа «тарелка» на фасадах зданий, ориентированных на центральны</w:t>
      </w:r>
      <w:r w:rsidR="0054228E">
        <w:rPr>
          <w:color w:val="000000"/>
          <w:sz w:val="28"/>
          <w:szCs w:val="28"/>
          <w:lang w:bidi="ru-RU"/>
        </w:rPr>
        <w:t>е улицы, площади, парки, скверы,</w:t>
      </w:r>
      <w:r w:rsidRPr="007951AF">
        <w:rPr>
          <w:color w:val="000000"/>
          <w:sz w:val="28"/>
          <w:szCs w:val="28"/>
          <w:lang w:bidi="ru-RU"/>
        </w:rPr>
        <w:t xml:space="preserve"> и другие общественные территории населенного пункта (ил</w:t>
      </w:r>
      <w:r w:rsidR="0054228E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7951AF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</w:t>
      </w:r>
      <w:r w:rsidRPr="007951AF">
        <w:rPr>
          <w:color w:val="000000"/>
          <w:sz w:val="28"/>
          <w:szCs w:val="28"/>
          <w:lang w:bidi="ru-RU"/>
        </w:rPr>
        <w:lastRenderedPageBreak/>
        <w:t>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7951AF" w:rsidRPr="007951AF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</w:t>
      </w:r>
      <w:r w:rsidR="0054228E">
        <w:rPr>
          <w:color w:val="000000"/>
          <w:sz w:val="28"/>
          <w:szCs w:val="28"/>
          <w:lang w:bidi="ru-RU"/>
        </w:rPr>
        <w:t xml:space="preserve">. </w:t>
      </w:r>
      <w:r w:rsidR="007951AF" w:rsidRPr="007951AF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7951AF" w:rsidRDefault="007951AF" w:rsidP="00AB5DE2">
      <w:pPr>
        <w:jc w:val="center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«</w:t>
      </w:r>
      <w:r w:rsidR="00AB5DE2">
        <w:rPr>
          <w:color w:val="000000"/>
          <w:sz w:val="28"/>
          <w:szCs w:val="28"/>
          <w:lang w:bidi="ru-RU"/>
        </w:rPr>
        <w:t>Статья 30. Зоны</w:t>
      </w:r>
      <w:r w:rsidRPr="007951AF">
        <w:rPr>
          <w:color w:val="000000"/>
          <w:sz w:val="28"/>
          <w:szCs w:val="28"/>
          <w:lang w:bidi="ru-RU"/>
        </w:rPr>
        <w:t xml:space="preserve"> с установленными требованиями к архитектурно-градостроительному облику объектов капитального строительства</w:t>
      </w:r>
    </w:p>
    <w:p w:rsidR="00AB5DE2" w:rsidRPr="007951AF" w:rsidRDefault="00AB5DE2" w:rsidP="00AB5DE2">
      <w:pPr>
        <w:jc w:val="center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AB5DE2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>главы 4 раздела I</w:t>
      </w:r>
      <w:r w:rsidR="005A3F57">
        <w:rPr>
          <w:color w:val="000000"/>
          <w:sz w:val="28"/>
          <w:szCs w:val="28"/>
          <w:lang w:bidi="ru-RU"/>
        </w:rPr>
        <w:t>,</w:t>
      </w:r>
      <w:r w:rsidRPr="007951AF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Правил</w:t>
      </w:r>
      <w:r w:rsidR="003C3A23">
        <w:rPr>
          <w:color w:val="000000"/>
          <w:sz w:val="28"/>
          <w:szCs w:val="28"/>
          <w:lang w:bidi="ru-RU"/>
        </w:rPr>
        <w:t>.</w:t>
      </w:r>
      <w:r w:rsidRPr="007951AF">
        <w:rPr>
          <w:color w:val="000000"/>
          <w:sz w:val="28"/>
          <w:szCs w:val="28"/>
          <w:lang w:bidi="ru-RU"/>
        </w:rPr>
        <w:t>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1.4</w:t>
      </w:r>
      <w:r w:rsidR="007951AF" w:rsidRPr="007951AF">
        <w:rPr>
          <w:color w:val="000000"/>
          <w:sz w:val="28"/>
          <w:szCs w:val="28"/>
          <w:lang w:bidi="ru-RU"/>
        </w:rPr>
        <w:t>. Карту градостроительного зонирования изложить в новой редакции (приложение).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2. Постановление опубликовать в газете «Кондинский вестник»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 xml:space="preserve">и </w:t>
      </w:r>
      <w:r w:rsidR="00AB5DE2">
        <w:rPr>
          <w:color w:val="000000"/>
          <w:sz w:val="28"/>
          <w:szCs w:val="28"/>
          <w:lang w:bidi="ru-RU"/>
        </w:rPr>
        <w:t>разместить на официальном сайте органов местного самоуправления Кондинского района.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3. Постановление вступает в силу после его официального опубликования.</w:t>
      </w: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032037" w:rsidRDefault="00032037" w:rsidP="00D107E3">
      <w:pPr>
        <w:rPr>
          <w:color w:val="000000"/>
          <w:sz w:val="16"/>
          <w:szCs w:val="16"/>
        </w:rPr>
      </w:pPr>
    </w:p>
    <w:p w:rsidR="00032037" w:rsidRDefault="00032037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Pr="000F3A8A" w:rsidRDefault="00AB5DE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032037" w:rsidRDefault="002D7A9B" w:rsidP="00032037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  <w:r w:rsidR="00BC024C" w:rsidRPr="000F3A8A">
        <w:t xml:space="preserve"> </w:t>
      </w:r>
    </w:p>
    <w:p w:rsidR="00032037" w:rsidRPr="00953EC8" w:rsidRDefault="00032037" w:rsidP="000320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032037" w:rsidRPr="00953EC8" w:rsidRDefault="00032037" w:rsidP="000320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32037" w:rsidRDefault="00032037" w:rsidP="00032037">
      <w:pPr>
        <w:tabs>
          <w:tab w:val="left" w:pos="4962"/>
        </w:tabs>
        <w:ind w:left="4962"/>
      </w:pPr>
      <w:r>
        <w:t>от 21.12.2023 № 1395</w:t>
      </w:r>
    </w:p>
    <w:p w:rsidR="00E5406C" w:rsidRDefault="00E5406C" w:rsidP="00032037">
      <w:pPr>
        <w:tabs>
          <w:tab w:val="left" w:pos="4962"/>
        </w:tabs>
        <w:ind w:left="4962"/>
      </w:pPr>
    </w:p>
    <w:p w:rsidR="00032037" w:rsidRPr="00953EC8" w:rsidRDefault="00E5406C" w:rsidP="00E5406C">
      <w:pPr>
        <w:tabs>
          <w:tab w:val="left" w:pos="0"/>
        </w:tabs>
        <w:jc w:val="center"/>
      </w:pPr>
      <w:r>
        <w:t>Карта</w:t>
      </w:r>
      <w:r w:rsidRPr="00E5406C">
        <w:t xml:space="preserve"> градостроительного зониро</w:t>
      </w:r>
      <w:bookmarkStart w:id="0" w:name="_GoBack"/>
      <w:bookmarkEnd w:id="0"/>
      <w:r w:rsidRPr="00E5406C">
        <w:t>вания</w:t>
      </w:r>
    </w:p>
    <w:p w:rsidR="00032037" w:rsidRPr="00032037" w:rsidRDefault="00E5406C" w:rsidP="00032037">
      <w:r>
        <w:rPr>
          <w:noProof/>
        </w:rPr>
        <w:pict>
          <v:shape id="Рисунок 1" o:spid="_x0000_s1092" type="#_x0000_t75" alt="Описание: Y:\Управление архитектуры\14. ПРАВИЛА ЗЕМЛЕПОЛЬЗОВАНИЯ И ЗАСТРОЙКИ\1.  Междуреченский\изменения 2023 октябрь\Jpeg\Карта градостроительного зонирования М 1_5000 изм. 2023 междуреченский.jpg" style="position:absolute;margin-left:.15pt;margin-top:3.55pt;width:482.05pt;height:493.2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8" o:title="Карта градостроительного зонирования М 1_5000 изм"/>
          </v:shape>
        </w:pict>
      </w:r>
    </w:p>
    <w:sectPr w:rsidR="00032037" w:rsidRPr="00032037" w:rsidSect="00032037">
      <w:headerReference w:type="even" r:id="rId39"/>
      <w:headerReference w:type="default" r:id="rId4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FA" w:rsidRDefault="000948FA">
      <w:r>
        <w:separator/>
      </w:r>
    </w:p>
  </w:endnote>
  <w:endnote w:type="continuationSeparator" w:id="0">
    <w:p w:rsidR="000948FA" w:rsidRDefault="000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FA" w:rsidRDefault="000948FA">
      <w:r>
        <w:separator/>
      </w:r>
    </w:p>
  </w:footnote>
  <w:footnote w:type="continuationSeparator" w:id="0">
    <w:p w:rsidR="000948FA" w:rsidRDefault="0009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FA" w:rsidRDefault="000948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8FA" w:rsidRDefault="000948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37" w:rsidRDefault="000320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406C">
      <w:rPr>
        <w:noProof/>
      </w:rPr>
      <w:t>7</w:t>
    </w:r>
    <w:r>
      <w:fldChar w:fldCharType="end"/>
    </w:r>
  </w:p>
  <w:p w:rsidR="000948FA" w:rsidRDefault="000948F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037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8FA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3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02CF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A9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2305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1C6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0CC7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F22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3A23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8E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3F57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24E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267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37603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1B7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5DE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C7D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06C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2023-12-21T11:57:00Z</dcterms:created>
  <dcterms:modified xsi:type="dcterms:W3CDTF">2023-12-21T12:02:00Z</dcterms:modified>
</cp:coreProperties>
</file>