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19" w:rsidRPr="001E1F9F" w:rsidRDefault="008D7219" w:rsidP="001E1F9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8D7219" w:rsidRPr="001E1F9F" w:rsidRDefault="008D7219" w:rsidP="001E1F9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УМЕНЬШЕНИЯ РАЗМЕРА ВОЗМЕЩЕНИЯ УЩЕРБА,</w:t>
      </w:r>
    </w:p>
    <w:p w:rsidR="008D7219" w:rsidRPr="001E1F9F" w:rsidRDefault="008D7219" w:rsidP="001E1F9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ПОНЕСЕННОГО</w:t>
      </w:r>
      <w:proofErr w:type="gramEnd"/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СОБСТВЕННИКОМ ЖИВОТНЫХ И (ИЛИ) ПРОДУКЦИИ</w:t>
      </w:r>
    </w:p>
    <w:p w:rsidR="008D7219" w:rsidRPr="001E1F9F" w:rsidRDefault="008D7219" w:rsidP="001E1F9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ЖИВОТНОГО ПРОИСХОЖДЕНИЯ В РЕЗУЛЬТАТЕ ИЗЪЯТИЯ ЖИВОТНЫХ</w:t>
      </w:r>
    </w:p>
    <w:p w:rsidR="008D7219" w:rsidRPr="001E1F9F" w:rsidRDefault="008D7219" w:rsidP="001E1F9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(ИЛИ) ПРОДУКЦИИ ЖИВОТНОГО ПРОИСХОЖДЕНИЯ ДЛЯ ЦЕЛЕЙ</w:t>
      </w:r>
    </w:p>
    <w:p w:rsidR="008D7219" w:rsidRPr="001E1F9F" w:rsidRDefault="008D7219" w:rsidP="001E1F9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УТИЛИЗАЦИИ ПРИ ЛИКВИДАЦИИ ОЧАГОВ ОСОБО ОПАСНЫХ</w:t>
      </w:r>
    </w:p>
    <w:p w:rsidR="00912CAD" w:rsidRPr="001E1F9F" w:rsidRDefault="008D7219" w:rsidP="001E1F9F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БОЛЕЗНЕЙ ЖИВОТНЫХ</w:t>
      </w:r>
      <w:r w:rsidR="00912CAD" w:rsidRPr="001E1F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8D7219" w:rsidRPr="001E1F9F" w:rsidRDefault="00912CAD" w:rsidP="001E1F9F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(утв. Постановлением Правительства РФ от 01.02.2023 №140)</w:t>
      </w:r>
    </w:p>
    <w:p w:rsidR="00037148" w:rsidRPr="001E1F9F" w:rsidRDefault="00037148" w:rsidP="001E1F9F">
      <w:pPr>
        <w:pStyle w:val="ConsPlusNormal"/>
        <w:spacing w:line="276" w:lineRule="auto"/>
        <w:ind w:firstLine="540"/>
        <w:jc w:val="both"/>
      </w:pPr>
      <w:r w:rsidRPr="001E1F9F">
        <w:t>1. Правила определяют порядок уменьшения размера возмещения ущерба, понесенного собственником животных и (или) продукции животного происхождения  в результате изъятия животных и (или) продукции для целей утилизации при ликвидации очагов особо опасных болезней животных.</w:t>
      </w:r>
    </w:p>
    <w:p w:rsidR="00037148" w:rsidRPr="001E1F9F" w:rsidRDefault="00037148" w:rsidP="001E1F9F">
      <w:pPr>
        <w:pStyle w:val="ConsPlusNormal"/>
        <w:spacing w:line="276" w:lineRule="auto"/>
        <w:ind w:firstLine="540"/>
        <w:jc w:val="both"/>
      </w:pPr>
      <w:r w:rsidRPr="001E1F9F">
        <w:t xml:space="preserve">2. </w:t>
      </w:r>
      <w:proofErr w:type="gramStart"/>
      <w:r w:rsidRPr="001E1F9F">
        <w:t>При обращении собственника с заявлением о возмещении ущерба в исполнительный орган субъекта Российской Федерации, руководитель указанного органа направляет запрос в территориальный орган Федеральной службы по ветеринарному и фитосанитарному надзору о наличии либо отсутствии случаев, предусмотренных перечнем случаев, при которых размер возмещения ущерба может быть уменьшен (далее - перечень случаев уменьшения размера возмещения ущерба), и перечнем случаев, при которых в возмещении ущерба</w:t>
      </w:r>
      <w:proofErr w:type="gramEnd"/>
      <w:r w:rsidRPr="001E1F9F">
        <w:t xml:space="preserve"> может быть отказано.</w:t>
      </w:r>
    </w:p>
    <w:p w:rsidR="00037148" w:rsidRPr="001E1F9F" w:rsidRDefault="00037148" w:rsidP="001E1F9F">
      <w:pPr>
        <w:pStyle w:val="ConsPlusNormal"/>
        <w:spacing w:line="276" w:lineRule="auto"/>
        <w:ind w:firstLine="540"/>
        <w:jc w:val="both"/>
      </w:pPr>
      <w:r w:rsidRPr="001E1F9F">
        <w:t>3. При наличии случаев, включенных в перечень случаев уменьшения размера возмещения ущерба, руководитель исполнительного органа субъекта Российской Федерации, разрабатывает проект решения об уменьшении размера возмещения ущерба и направляет его на рассмотрение в высший исполнительный орган субъекта Российской Федерации.</w:t>
      </w:r>
    </w:p>
    <w:p w:rsidR="00037148" w:rsidRPr="001E1F9F" w:rsidRDefault="00037148" w:rsidP="001E1F9F">
      <w:pPr>
        <w:pStyle w:val="ConsPlusNormal"/>
        <w:spacing w:line="276" w:lineRule="auto"/>
        <w:ind w:firstLine="540"/>
        <w:jc w:val="both"/>
      </w:pPr>
      <w:r w:rsidRPr="001E1F9F">
        <w:t xml:space="preserve">4. </w:t>
      </w:r>
      <w:proofErr w:type="gramStart"/>
      <w:r w:rsidRPr="001E1F9F">
        <w:t>При выявлении не более 2 случаев, предусмотренных пунктами 1 - 14 перечня случаев уменьшения размера возмещения ущерба, либо при выявлении одновременно одного случая, предусмотренного пунктами 1 - 14 перечня случаев уменьшения размера возмещения ущерба, и не более 2 случаев, предусмотренных пунктами 15 - 21 перечня случаев уменьшения размера возмещения ущерба, размер возмещения ущерба уменьшается однократно на 50 процентов от размера ущерба</w:t>
      </w:r>
      <w:r w:rsidR="00392888" w:rsidRPr="001E1F9F">
        <w:t>.</w:t>
      </w:r>
      <w:proofErr w:type="gramEnd"/>
    </w:p>
    <w:p w:rsidR="00392888" w:rsidRPr="001E1F9F" w:rsidRDefault="00392888" w:rsidP="001E1F9F">
      <w:pPr>
        <w:pStyle w:val="ConsPlusNormal"/>
        <w:spacing w:line="276" w:lineRule="auto"/>
        <w:ind w:firstLine="540"/>
        <w:jc w:val="both"/>
      </w:pPr>
      <w:r w:rsidRPr="001E1F9F">
        <w:t xml:space="preserve">5. </w:t>
      </w:r>
      <w:r w:rsidR="00037148" w:rsidRPr="001E1F9F">
        <w:t>При выявлении не более 4 случаев, предусмотренных пунктами 15 - 21 перечня случаев уменьшения размера возмещения ущерба, размер возмещения ущерба уменьшается однократно на 25 процентов от размера ущерба</w:t>
      </w:r>
      <w:r w:rsidRPr="001E1F9F">
        <w:t>.</w:t>
      </w:r>
    </w:p>
    <w:p w:rsidR="00392888" w:rsidRPr="001E1F9F" w:rsidRDefault="00392888" w:rsidP="001E1F9F">
      <w:pPr>
        <w:pStyle w:val="ConsPlusNormal"/>
        <w:spacing w:line="276" w:lineRule="auto"/>
        <w:ind w:firstLine="540"/>
        <w:jc w:val="both"/>
      </w:pPr>
      <w:r w:rsidRPr="001E1F9F">
        <w:t xml:space="preserve">6. Решение об уменьшении размера возмещения ущерба с обоснованием принятого решения направляется </w:t>
      </w:r>
      <w:proofErr w:type="gramStart"/>
      <w:r w:rsidRPr="001E1F9F">
        <w:t>собственнику</w:t>
      </w:r>
      <w:proofErr w:type="gramEnd"/>
      <w:r w:rsidRPr="001E1F9F">
        <w:t xml:space="preserve"> указанному в заявлении о возмещении ущерба, в течение 5 рабочих дней со дня принятия решения об уменьшении размера возмещения ущерба.</w:t>
      </w:r>
    </w:p>
    <w:p w:rsidR="001E1F9F" w:rsidRDefault="001E1F9F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1E1F9F" w:rsidRDefault="001E1F9F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1E1F9F" w:rsidRDefault="001E1F9F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1E1F9F" w:rsidRDefault="001E1F9F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1E1F9F" w:rsidRDefault="001E1F9F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1E1F9F" w:rsidRDefault="001E1F9F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1E1F9F" w:rsidRDefault="001E1F9F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1E1F9F" w:rsidRDefault="001E1F9F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1E1F9F" w:rsidRDefault="001E1F9F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392888" w:rsidRPr="001E1F9F" w:rsidRDefault="00392888" w:rsidP="001E1F9F">
      <w:pPr>
        <w:pStyle w:val="ConsPlusTitle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  <w:r w:rsidRPr="001E1F9F">
        <w:rPr>
          <w:rFonts w:eastAsiaTheme="minorEastAsia"/>
          <w:sz w:val="24"/>
          <w:szCs w:val="24"/>
          <w:lang w:eastAsia="ru-RU"/>
        </w:rPr>
        <w:lastRenderedPageBreak/>
        <w:t>ПЕ</w:t>
      </w:r>
      <w:bookmarkStart w:id="0" w:name="_GoBack"/>
      <w:bookmarkEnd w:id="0"/>
      <w:r w:rsidRPr="001E1F9F">
        <w:rPr>
          <w:rFonts w:eastAsiaTheme="minorEastAsia"/>
          <w:sz w:val="24"/>
          <w:szCs w:val="24"/>
          <w:lang w:eastAsia="ru-RU"/>
        </w:rPr>
        <w:t>РЕЧЕНЬ</w:t>
      </w:r>
    </w:p>
    <w:p w:rsidR="00392888" w:rsidRPr="001E1F9F" w:rsidRDefault="00392888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СЛУЧАЕВ, ПРИ КОТОРЫХ РАЗМЕР ВОЗМЕЩЕНИЯ УЩЕРБА,</w:t>
      </w:r>
    </w:p>
    <w:p w:rsidR="00392888" w:rsidRPr="001E1F9F" w:rsidRDefault="00392888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ПОНЕСЕННОГО</w:t>
      </w:r>
      <w:proofErr w:type="gramEnd"/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СОБСТВЕННИКОМ ЖИВОТНЫХ И (ИЛИ) ПРОДУКЦИИ</w:t>
      </w:r>
    </w:p>
    <w:p w:rsidR="00392888" w:rsidRPr="001E1F9F" w:rsidRDefault="00392888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ЖИВОТНОГО ПРОИСХОЖДЕНИЯ В РЕЗУЛЬТАТЕ ИЗЪЯТИЯ ЖИВОТНЫХ</w:t>
      </w:r>
    </w:p>
    <w:p w:rsidR="00392888" w:rsidRPr="001E1F9F" w:rsidRDefault="00392888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(ИЛИ) ПРОДУКЦИИ ЖИВОТНОГО ПРОИСХОЖДЕНИЯ ДЛЯ ЦЕЛЕЙ</w:t>
      </w:r>
    </w:p>
    <w:p w:rsidR="00392888" w:rsidRPr="001E1F9F" w:rsidRDefault="00392888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УТИЛИЗАЦИИ ПРИ ЛИКВИДАЦИИ ОЧАГОВ ОСОБО ОПАСНЫХ</w:t>
      </w:r>
    </w:p>
    <w:p w:rsidR="00392888" w:rsidRPr="001E1F9F" w:rsidRDefault="00392888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БОЛЕЗНЕЙ ЖИВОТНЫХ, МОЖЕТ БЫТЬ </w:t>
      </w:r>
      <w:proofErr w:type="gramStart"/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УМЕНЬШЕН</w:t>
      </w:r>
      <w:proofErr w:type="gramEnd"/>
    </w:p>
    <w:p w:rsidR="005A1ECD" w:rsidRPr="001E1F9F" w:rsidRDefault="001E1F9F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(утв. Постановлением Правительства РФ от 01.02.2023 №139)</w:t>
      </w:r>
    </w:p>
    <w:p w:rsidR="001E1F9F" w:rsidRPr="001E1F9F" w:rsidRDefault="001E1F9F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 xml:space="preserve">1. </w:t>
      </w:r>
      <w:proofErr w:type="spellStart"/>
      <w:r w:rsidRPr="001E1F9F">
        <w:t>Неинформирование</w:t>
      </w:r>
      <w:proofErr w:type="spellEnd"/>
      <w:r w:rsidRPr="001E1F9F">
        <w:t xml:space="preserve"> гражданами, в том числе ведущими личное подсобное хозяйство, крестьянскими (фермерскими) хозяйствами, индивидуальными предпринимателями, обо всех случаях заболевания или гибели восприимчивых животных, а также об изменениях в их поведении, указывающих на возможное заболевание особо опасной болезнью животных.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2. Отсутствие на предприятиях здания или помещения, расположенного при входе на территорию объекта и (или) при входе в обособленные производственные зоны, где обнаружен очаг особо опасной болезни животных, предназначенного для проведения санитарной обработки обслуживающего персонала и специалистов государственной ветеринарной службы, а также для дезинфекции их одежды и обуви.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 xml:space="preserve">3. </w:t>
      </w:r>
      <w:proofErr w:type="gramStart"/>
      <w:r w:rsidRPr="001E1F9F">
        <w:t>Вход в животноводческое (животноводческие) помещение (помещения) (производственную зону), где обнаружен очаг особо опасной болезни животных, предприятий или хозяйств (кроме граждан, на личных подворьях которых выращивается птица, и организаций, в которых предусмотрено выгульное содержание птицы) осуществлялся без использования рабочей или специальной одежды и обуви.</w:t>
      </w:r>
      <w:proofErr w:type="gramEnd"/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4. Территория предприятий или хозяйств, на которой выявлен очаг особо опасной болезни животных, не имеет ограждения.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5. Предприятиями или хозяйствами, осуществляющими содержание свиней, допускался выгул свиней, либо состояние помещений, в которых они содержались, не исключает контакта свиней с другими животными, включая птиц.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6. Выявлен факт нарушения предприятиями или хозяйствами, осуществляющими содержание свиней, установленных ветеринарными правилами ограничений, касающихся использования пищевых отходов для кормления свиней.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7. Установлен факт переработки предприятиями или хозяйствами особо опасных биологических отходов или их утилизации с нарушением ветеринарных правил.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8. На въезде (выезде) на территорию (с территории) предприятия, на которой обнаружен очаг особо опасной болезни животных, отсутствует помещение, здание, сооружение или площадка для обработки транспортных сре</w:t>
      </w:r>
      <w:proofErr w:type="gramStart"/>
      <w:r w:rsidRPr="001E1F9F">
        <w:t>дств в ц</w:t>
      </w:r>
      <w:proofErr w:type="gramEnd"/>
      <w:r w:rsidRPr="001E1F9F">
        <w:t>елях дезинфекции внешних поверхностей и исключения загрязнения территории предприятия.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9. Установлен факт использования предприятиями, осуществляющими содержание крупного рогатого скота, в иных целях транспортных средств, в которых осуществляется перевозка больных животных и трупов животных.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10. Предприятиями, осуществляющими содержание свиней, допускался занос пищевых продуктов в помещение, где содержатся животные.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 xml:space="preserve">11. Установлен факт нарушения предприятиями, осуществляющими содержание свиней, требования по проведению ветеринарно-санитарных мероприятий при обнаружении в группе </w:t>
      </w:r>
      <w:proofErr w:type="spellStart"/>
      <w:r w:rsidRPr="001E1F9F">
        <w:t>карантинируемого</w:t>
      </w:r>
      <w:proofErr w:type="spellEnd"/>
      <w:r w:rsidRPr="001E1F9F">
        <w:t xml:space="preserve"> поголовья животных, больных заразными болезнями.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 xml:space="preserve">12. Установлен факт отказа предприятий или хозяйств от выполнения требования </w:t>
      </w:r>
      <w:r w:rsidRPr="001E1F9F">
        <w:lastRenderedPageBreak/>
        <w:t>специалистов государственной ветеринарной службы предоставить восприимчивых животных для осмотра.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13. Предприятиями или хозяйствами осуществлялось комплектование животными, поступившими из других хозяйств и предприятий, в отсутствие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bookmarkStart w:id="1" w:name="Par59"/>
      <w:bookmarkEnd w:id="1"/>
      <w:r w:rsidRPr="001E1F9F">
        <w:t>14. Установлен факт невыполнения предприятиями или хозяйствами мероприятий по проведению диагностических исследований животных, предусмотренных ветеринарными правилами.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bookmarkStart w:id="2" w:name="Par60"/>
      <w:bookmarkEnd w:id="2"/>
      <w:r w:rsidRPr="001E1F9F">
        <w:t>15. Невыполнение предприятиями или хозяйствами требования специалистов государственной ветеринарной службы о проведении противоэпизоотических мероприятий, предусмотренных ветеринарным законодательством Российской Федерации.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 xml:space="preserve">16. Территория предприятия или хозяйства, осуществляющих содержание свиней, предприятия или хозяйства, осуществляющих содержание крупного рогатого скота, предприятия, на котором предусмотрено </w:t>
      </w:r>
      <w:proofErr w:type="spellStart"/>
      <w:r w:rsidRPr="001E1F9F">
        <w:t>безвыгульное</w:t>
      </w:r>
      <w:proofErr w:type="spellEnd"/>
      <w:r w:rsidRPr="001E1F9F">
        <w:t xml:space="preserve"> содержание птицы, на которой выявлен очаг особо опасной болезни животных, огорожена с нарушением требований ветеринарных правил.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17. Установлен факт содержания на производственных территориях предприятий собак (кроме сторожевых), кошек, а также животных других видов, включая птиц (кроме содержания лошадей предприятиями по содержанию крупного рогатого скота).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18. Установлен факт отсутствия организации предприятиями или хозяйствами изоляции животных и трупов животных при наличии подозрений на наличие особо опасной болезни животных, в результате которого такие животные или трупы животных попали за пределы территории хозяйства (предприятия).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>19. Установлен факт нарушения предприятиями или хозяйствами требования ветеринарных правил в части обеззараживания навоза (помета).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 xml:space="preserve">20. Установлен факт нарушения предприятиями или хозяйствами, осуществляющими содержание свиней, предприятиями или хозяйствами, осуществляющими содержание крупного рогатого скота, требования по проведению дезинсекции, </w:t>
      </w:r>
      <w:proofErr w:type="spellStart"/>
      <w:r w:rsidRPr="001E1F9F">
        <w:t>дезакаризации</w:t>
      </w:r>
      <w:proofErr w:type="spellEnd"/>
      <w:r w:rsidRPr="001E1F9F">
        <w:t xml:space="preserve"> и дератизации животноводческих помещений.</w:t>
      </w:r>
    </w:p>
    <w:p w:rsidR="005A1ECD" w:rsidRPr="001E1F9F" w:rsidRDefault="005A1ECD" w:rsidP="001E1F9F">
      <w:pPr>
        <w:pStyle w:val="ConsPlusNormal"/>
        <w:spacing w:after="240" w:line="276" w:lineRule="auto"/>
        <w:ind w:firstLine="540"/>
        <w:jc w:val="both"/>
      </w:pPr>
      <w:bookmarkStart w:id="3" w:name="Par66"/>
      <w:bookmarkEnd w:id="3"/>
      <w:r w:rsidRPr="001E1F9F">
        <w:t>21. Установлен факт смешивания крупного рогатого скота из разных стад при его выпасе и водопое предприятиями или хозяйствами, осуществляющими содержание крупного рогатого скота.</w:t>
      </w:r>
    </w:p>
    <w:p w:rsidR="005A1ECD" w:rsidRPr="001E1F9F" w:rsidRDefault="005A1ECD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5A1ECD" w:rsidRPr="001E1F9F" w:rsidRDefault="005A1ECD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СЛУЧАЕВ, ПРИ КОТОРЫХ В ВОЗМЕЩЕНИИ УЩЕРБА,</w:t>
      </w:r>
    </w:p>
    <w:p w:rsidR="005A1ECD" w:rsidRPr="001E1F9F" w:rsidRDefault="005A1ECD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ПОНЕСЕННОГО</w:t>
      </w:r>
      <w:proofErr w:type="gramEnd"/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СОБСТВЕННИКОМ ЖИВОТНЫХ И (ИЛИ) ПРОДУКЦИИ</w:t>
      </w:r>
    </w:p>
    <w:p w:rsidR="005A1ECD" w:rsidRPr="001E1F9F" w:rsidRDefault="005A1ECD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ЖИВОТНОГО ПРОИСХОЖДЕНИЯ В РЕЗУЛЬТАТЕ ИЗЪЯТИЯ ЖИВОТНЫХ</w:t>
      </w:r>
    </w:p>
    <w:p w:rsidR="005A1ECD" w:rsidRPr="001E1F9F" w:rsidRDefault="005A1ECD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(ИЛИ) ПРОДУКЦИИ ЖИВОТНОГО ПРОИСХОЖДЕНИЯ ДЛЯ ЦЕЛЕЙ</w:t>
      </w:r>
    </w:p>
    <w:p w:rsidR="005A1ECD" w:rsidRPr="001E1F9F" w:rsidRDefault="005A1ECD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УТИЛИЗАЦИИ ПРИ ЛИКВИДАЦИИ ОЧАГОВ ОСОБО ОПАСНЫХ</w:t>
      </w:r>
    </w:p>
    <w:p w:rsidR="005A1ECD" w:rsidRPr="001E1F9F" w:rsidRDefault="005A1ECD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БОЛЕЗНЕЙ ЖИВОТНЫХ, МОЖЕТ БЫТЬ ОТКАЗАНО</w:t>
      </w:r>
    </w:p>
    <w:p w:rsidR="00533784" w:rsidRPr="001E1F9F" w:rsidRDefault="001E1F9F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1F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(утв. Постановлением Правительства РФ от 01.02.2023 №139)</w:t>
      </w:r>
    </w:p>
    <w:p w:rsidR="001E1F9F" w:rsidRPr="001E1F9F" w:rsidRDefault="001E1F9F" w:rsidP="001E1F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33784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 xml:space="preserve">1. </w:t>
      </w:r>
      <w:proofErr w:type="gramStart"/>
      <w:r w:rsidRPr="001E1F9F">
        <w:t xml:space="preserve">При выявлении в течение 2 месяцев, предшествующих дате составления акта об изъятии животных и (или) продукции животного происхождения при ликвидации очага особо опасной болезни животных, 3 и более случаев, содержащихся в пунктах 1 - 14 перечня </w:t>
      </w:r>
      <w:r w:rsidRPr="001E1F9F">
        <w:lastRenderedPageBreak/>
        <w:t>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</w:t>
      </w:r>
      <w:proofErr w:type="gramEnd"/>
      <w:r w:rsidRPr="001E1F9F">
        <w:t xml:space="preserve"> утилизации при ликвидации очагов особо опасных болезней</w:t>
      </w:r>
      <w:r w:rsidR="00533784" w:rsidRPr="001E1F9F">
        <w:t xml:space="preserve"> животных, может быть </w:t>
      </w:r>
      <w:proofErr w:type="gramStart"/>
      <w:r w:rsidR="00533784" w:rsidRPr="001E1F9F">
        <w:t>уменьшен</w:t>
      </w:r>
      <w:proofErr w:type="gramEnd"/>
      <w:r w:rsidR="00533784" w:rsidRPr="001E1F9F">
        <w:t>.</w:t>
      </w:r>
    </w:p>
    <w:p w:rsidR="005A1ECD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 xml:space="preserve">2. </w:t>
      </w:r>
      <w:proofErr w:type="gramStart"/>
      <w:r w:rsidRPr="001E1F9F">
        <w:t>При выявлении в течение 2 месяцев, предшествующих дате составления акта об изъятии животных и (или) продукции животного происхождения при ликвидации очага особо опасной болезни животных, 4 и более случаев, содержащихся в перечне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</w:t>
      </w:r>
      <w:proofErr w:type="gramEnd"/>
      <w:r w:rsidRPr="001E1F9F">
        <w:t xml:space="preserve"> очагов особо опасных болезней животных, может быть уменьшен, если один из них содержится в пунктах 1 - 14 указанного перечня.</w:t>
      </w:r>
    </w:p>
    <w:p w:rsidR="00533784" w:rsidRPr="001E1F9F" w:rsidRDefault="005A1ECD" w:rsidP="001E1F9F">
      <w:pPr>
        <w:pStyle w:val="ConsPlusNormal"/>
        <w:spacing w:line="276" w:lineRule="auto"/>
        <w:ind w:firstLine="540"/>
        <w:jc w:val="both"/>
      </w:pPr>
      <w:r w:rsidRPr="001E1F9F">
        <w:t xml:space="preserve">3. </w:t>
      </w:r>
      <w:proofErr w:type="gramStart"/>
      <w:r w:rsidRPr="001E1F9F">
        <w:t>При выявлении в течение 2 месяцев, предшествующих дате составления акта об изъятии животных и (или) продукции животного происхождения при ликвидации очага особо опасной болезни животных, 5 и более случаев, содержащихся в пунктах 15 - 21 перечня случаев, при которых размер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</w:t>
      </w:r>
      <w:proofErr w:type="gramEnd"/>
      <w:r w:rsidRPr="001E1F9F">
        <w:t xml:space="preserve"> утилизации при ликвидации очагов особо опасных болезней</w:t>
      </w:r>
      <w:r w:rsidR="00533784" w:rsidRPr="001E1F9F">
        <w:t xml:space="preserve"> животных, может быть </w:t>
      </w:r>
      <w:proofErr w:type="gramStart"/>
      <w:r w:rsidR="00533784" w:rsidRPr="001E1F9F">
        <w:t>уменьшен</w:t>
      </w:r>
      <w:proofErr w:type="gramEnd"/>
      <w:r w:rsidR="00533784" w:rsidRPr="001E1F9F">
        <w:t>.</w:t>
      </w:r>
    </w:p>
    <w:p w:rsidR="005A1ECD" w:rsidRPr="001E1F9F" w:rsidRDefault="005A1ECD" w:rsidP="001E1F9F">
      <w:pPr>
        <w:pStyle w:val="ConsPlusNormal"/>
        <w:spacing w:after="240" w:line="276" w:lineRule="auto"/>
        <w:ind w:firstLine="540"/>
        <w:jc w:val="both"/>
      </w:pPr>
      <w:r w:rsidRPr="001E1F9F">
        <w:t xml:space="preserve">4. </w:t>
      </w:r>
      <w:proofErr w:type="gramStart"/>
      <w:r w:rsidRPr="001E1F9F">
        <w:t>При выявлении в продукции животного происхождения, выпущенной в оборот после возникновения подозрения на особо опасную болезнь животных или установления карантина по особо опасной болезни животных на объекте, связанном с выращиванием и содержанием животных, производством, хранением продукции животного происхождения, ее переработкой и реализацией, возбудителя соответствующей болезни или его генетического материала в случае, если ветеринарными правилами предусмотрен запрет на вывоз с такого</w:t>
      </w:r>
      <w:proofErr w:type="gramEnd"/>
      <w:r w:rsidRPr="001E1F9F">
        <w:t xml:space="preserve"> объекта животных и (или) продукции животного происхождения при наличии оснований для подозрения на особо опасную болезнь животных или при установлении карантина по особо опасной болезни животных.</w:t>
      </w:r>
    </w:p>
    <w:p w:rsidR="00392888" w:rsidRDefault="00392888" w:rsidP="00533784">
      <w:pPr>
        <w:pStyle w:val="ConsPlusNormal"/>
        <w:tabs>
          <w:tab w:val="left" w:pos="992"/>
        </w:tabs>
        <w:spacing w:after="240"/>
        <w:ind w:firstLine="540"/>
        <w:jc w:val="center"/>
      </w:pPr>
    </w:p>
    <w:p w:rsidR="00037148" w:rsidRPr="008D7219" w:rsidRDefault="00037148" w:rsidP="008D72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7148" w:rsidRPr="008D7219" w:rsidSect="003F511F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E5" w:rsidRDefault="007862E5" w:rsidP="00617B40">
      <w:pPr>
        <w:spacing w:after="0" w:line="240" w:lineRule="auto"/>
      </w:pPr>
      <w:r>
        <w:separator/>
      </w:r>
    </w:p>
  </w:endnote>
  <w:endnote w:type="continuationSeparator" w:id="0">
    <w:p w:rsidR="007862E5" w:rsidRDefault="007862E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E5" w:rsidRDefault="007862E5" w:rsidP="00617B40">
      <w:pPr>
        <w:spacing w:after="0" w:line="240" w:lineRule="auto"/>
      </w:pPr>
      <w:r>
        <w:separator/>
      </w:r>
    </w:p>
  </w:footnote>
  <w:footnote w:type="continuationSeparator" w:id="0">
    <w:p w:rsidR="007862E5" w:rsidRDefault="007862E5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D6C"/>
    <w:multiLevelType w:val="multilevel"/>
    <w:tmpl w:val="3AFE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85939"/>
    <w:multiLevelType w:val="multilevel"/>
    <w:tmpl w:val="5E6E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C63B8"/>
    <w:multiLevelType w:val="multilevel"/>
    <w:tmpl w:val="96AE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C0C47"/>
    <w:multiLevelType w:val="multilevel"/>
    <w:tmpl w:val="454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D2851"/>
    <w:multiLevelType w:val="multilevel"/>
    <w:tmpl w:val="C234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53154"/>
    <w:multiLevelType w:val="multilevel"/>
    <w:tmpl w:val="31E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A5516"/>
    <w:multiLevelType w:val="multilevel"/>
    <w:tmpl w:val="E74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0317DE"/>
    <w:multiLevelType w:val="multilevel"/>
    <w:tmpl w:val="8942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72AB2"/>
    <w:multiLevelType w:val="multilevel"/>
    <w:tmpl w:val="613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37148"/>
    <w:rsid w:val="000379B5"/>
    <w:rsid w:val="0004059E"/>
    <w:rsid w:val="000553F6"/>
    <w:rsid w:val="000602EC"/>
    <w:rsid w:val="00060800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22592"/>
    <w:rsid w:val="00150967"/>
    <w:rsid w:val="00167936"/>
    <w:rsid w:val="00182B80"/>
    <w:rsid w:val="001847D2"/>
    <w:rsid w:val="0018600B"/>
    <w:rsid w:val="00186A59"/>
    <w:rsid w:val="001B524F"/>
    <w:rsid w:val="001C26CF"/>
    <w:rsid w:val="001C5C3F"/>
    <w:rsid w:val="001E11B2"/>
    <w:rsid w:val="001E1F9F"/>
    <w:rsid w:val="00225C7D"/>
    <w:rsid w:val="002300FD"/>
    <w:rsid w:val="00234040"/>
    <w:rsid w:val="002529F0"/>
    <w:rsid w:val="00256FF1"/>
    <w:rsid w:val="00261D49"/>
    <w:rsid w:val="00265EB4"/>
    <w:rsid w:val="00272880"/>
    <w:rsid w:val="002920C6"/>
    <w:rsid w:val="002A75A0"/>
    <w:rsid w:val="002D0994"/>
    <w:rsid w:val="00301280"/>
    <w:rsid w:val="00331AED"/>
    <w:rsid w:val="003432ED"/>
    <w:rsid w:val="00343BF0"/>
    <w:rsid w:val="00343FF5"/>
    <w:rsid w:val="003614B7"/>
    <w:rsid w:val="00361D72"/>
    <w:rsid w:val="003624D8"/>
    <w:rsid w:val="00365C36"/>
    <w:rsid w:val="00383D97"/>
    <w:rsid w:val="0038435E"/>
    <w:rsid w:val="00392888"/>
    <w:rsid w:val="00393DAD"/>
    <w:rsid w:val="00397EFC"/>
    <w:rsid w:val="003C6271"/>
    <w:rsid w:val="003E494E"/>
    <w:rsid w:val="003F0C86"/>
    <w:rsid w:val="003F2416"/>
    <w:rsid w:val="003F3603"/>
    <w:rsid w:val="003F43E0"/>
    <w:rsid w:val="003F511F"/>
    <w:rsid w:val="00403778"/>
    <w:rsid w:val="00404BE7"/>
    <w:rsid w:val="00417101"/>
    <w:rsid w:val="00422070"/>
    <w:rsid w:val="004304FA"/>
    <w:rsid w:val="00431272"/>
    <w:rsid w:val="004333EE"/>
    <w:rsid w:val="0044201A"/>
    <w:rsid w:val="0044500A"/>
    <w:rsid w:val="004534C5"/>
    <w:rsid w:val="00454A88"/>
    <w:rsid w:val="00465FC6"/>
    <w:rsid w:val="00470B45"/>
    <w:rsid w:val="004B28BF"/>
    <w:rsid w:val="004C069C"/>
    <w:rsid w:val="004C6C9D"/>
    <w:rsid w:val="004C7125"/>
    <w:rsid w:val="004D17B5"/>
    <w:rsid w:val="004D5CBF"/>
    <w:rsid w:val="004F72DA"/>
    <w:rsid w:val="004F7CDE"/>
    <w:rsid w:val="005010C7"/>
    <w:rsid w:val="00502428"/>
    <w:rsid w:val="00502A1A"/>
    <w:rsid w:val="00512D9E"/>
    <w:rsid w:val="0052446C"/>
    <w:rsid w:val="00532CA8"/>
    <w:rsid w:val="00533784"/>
    <w:rsid w:val="005439BD"/>
    <w:rsid w:val="0056694C"/>
    <w:rsid w:val="005921DC"/>
    <w:rsid w:val="00593086"/>
    <w:rsid w:val="005A0E1E"/>
    <w:rsid w:val="005A1ECD"/>
    <w:rsid w:val="005A66B0"/>
    <w:rsid w:val="005B2935"/>
    <w:rsid w:val="005B39FB"/>
    <w:rsid w:val="005B7083"/>
    <w:rsid w:val="005E0330"/>
    <w:rsid w:val="005F0864"/>
    <w:rsid w:val="00617B40"/>
    <w:rsid w:val="0062166C"/>
    <w:rsid w:val="00621E2A"/>
    <w:rsid w:val="00623C81"/>
    <w:rsid w:val="00624276"/>
    <w:rsid w:val="00626321"/>
    <w:rsid w:val="00636F28"/>
    <w:rsid w:val="006463FA"/>
    <w:rsid w:val="00651230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0172F"/>
    <w:rsid w:val="00724533"/>
    <w:rsid w:val="007343BF"/>
    <w:rsid w:val="00742D55"/>
    <w:rsid w:val="00746A6D"/>
    <w:rsid w:val="00763679"/>
    <w:rsid w:val="00773B58"/>
    <w:rsid w:val="0077481C"/>
    <w:rsid w:val="0078014A"/>
    <w:rsid w:val="007862E5"/>
    <w:rsid w:val="007A0722"/>
    <w:rsid w:val="007C5828"/>
    <w:rsid w:val="00805A4C"/>
    <w:rsid w:val="00816A42"/>
    <w:rsid w:val="00822F9D"/>
    <w:rsid w:val="008376BD"/>
    <w:rsid w:val="008459BB"/>
    <w:rsid w:val="00886731"/>
    <w:rsid w:val="00887852"/>
    <w:rsid w:val="00897CB6"/>
    <w:rsid w:val="008B3EA7"/>
    <w:rsid w:val="008B591A"/>
    <w:rsid w:val="008C2ACB"/>
    <w:rsid w:val="008C562B"/>
    <w:rsid w:val="008D6252"/>
    <w:rsid w:val="008D7219"/>
    <w:rsid w:val="008E20AE"/>
    <w:rsid w:val="008E4601"/>
    <w:rsid w:val="008E752B"/>
    <w:rsid w:val="008F037C"/>
    <w:rsid w:val="008F5172"/>
    <w:rsid w:val="00903CF1"/>
    <w:rsid w:val="00904296"/>
    <w:rsid w:val="009067CA"/>
    <w:rsid w:val="00912CAD"/>
    <w:rsid w:val="00927695"/>
    <w:rsid w:val="00933810"/>
    <w:rsid w:val="00934CF8"/>
    <w:rsid w:val="00942C84"/>
    <w:rsid w:val="0096338B"/>
    <w:rsid w:val="009917B5"/>
    <w:rsid w:val="009A231B"/>
    <w:rsid w:val="009B5D52"/>
    <w:rsid w:val="009C0855"/>
    <w:rsid w:val="009C1751"/>
    <w:rsid w:val="009F06C0"/>
    <w:rsid w:val="009F6EC2"/>
    <w:rsid w:val="00A035ED"/>
    <w:rsid w:val="00A14960"/>
    <w:rsid w:val="00A33D50"/>
    <w:rsid w:val="00A35FA8"/>
    <w:rsid w:val="00A425BD"/>
    <w:rsid w:val="00A4290E"/>
    <w:rsid w:val="00A44A08"/>
    <w:rsid w:val="00A567C5"/>
    <w:rsid w:val="00A56B2A"/>
    <w:rsid w:val="00A6046B"/>
    <w:rsid w:val="00A72B68"/>
    <w:rsid w:val="00A72C57"/>
    <w:rsid w:val="00AA4B56"/>
    <w:rsid w:val="00AC16A7"/>
    <w:rsid w:val="00AC194A"/>
    <w:rsid w:val="00AD697A"/>
    <w:rsid w:val="00AE1B25"/>
    <w:rsid w:val="00B03BFC"/>
    <w:rsid w:val="00B17E67"/>
    <w:rsid w:val="00B2079F"/>
    <w:rsid w:val="00B2259C"/>
    <w:rsid w:val="00B230DD"/>
    <w:rsid w:val="00B45F61"/>
    <w:rsid w:val="00B53A62"/>
    <w:rsid w:val="00B626AF"/>
    <w:rsid w:val="00B76B8E"/>
    <w:rsid w:val="00B76CD1"/>
    <w:rsid w:val="00B81A2D"/>
    <w:rsid w:val="00B82AA8"/>
    <w:rsid w:val="00B86FD0"/>
    <w:rsid w:val="00B9511D"/>
    <w:rsid w:val="00BA1FF4"/>
    <w:rsid w:val="00BB20CA"/>
    <w:rsid w:val="00BB611F"/>
    <w:rsid w:val="00BB6489"/>
    <w:rsid w:val="00BB6639"/>
    <w:rsid w:val="00BE25C7"/>
    <w:rsid w:val="00BE2AF4"/>
    <w:rsid w:val="00BF262A"/>
    <w:rsid w:val="00C002B4"/>
    <w:rsid w:val="00C06F50"/>
    <w:rsid w:val="00C16253"/>
    <w:rsid w:val="00C21D1F"/>
    <w:rsid w:val="00C239F1"/>
    <w:rsid w:val="00C36F0C"/>
    <w:rsid w:val="00C36F5A"/>
    <w:rsid w:val="00C3707F"/>
    <w:rsid w:val="00C45DB0"/>
    <w:rsid w:val="00C505C8"/>
    <w:rsid w:val="00C51F70"/>
    <w:rsid w:val="00C7412C"/>
    <w:rsid w:val="00C97A70"/>
    <w:rsid w:val="00CA7141"/>
    <w:rsid w:val="00CB7097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2CF9"/>
    <w:rsid w:val="00D4701F"/>
    <w:rsid w:val="00D5129C"/>
    <w:rsid w:val="00D53054"/>
    <w:rsid w:val="00D64FB3"/>
    <w:rsid w:val="00D74937"/>
    <w:rsid w:val="00D8061E"/>
    <w:rsid w:val="00D83A8F"/>
    <w:rsid w:val="00D96753"/>
    <w:rsid w:val="00DB032D"/>
    <w:rsid w:val="00DB0624"/>
    <w:rsid w:val="00DC62EF"/>
    <w:rsid w:val="00DE12FA"/>
    <w:rsid w:val="00DF29E1"/>
    <w:rsid w:val="00E020E1"/>
    <w:rsid w:val="00E024DC"/>
    <w:rsid w:val="00E05238"/>
    <w:rsid w:val="00E05262"/>
    <w:rsid w:val="00E067A4"/>
    <w:rsid w:val="00E26486"/>
    <w:rsid w:val="00E516F7"/>
    <w:rsid w:val="00E62404"/>
    <w:rsid w:val="00E624C3"/>
    <w:rsid w:val="00E7369E"/>
    <w:rsid w:val="00E82D87"/>
    <w:rsid w:val="00EC3AFB"/>
    <w:rsid w:val="00ED01A2"/>
    <w:rsid w:val="00ED123C"/>
    <w:rsid w:val="00EF214F"/>
    <w:rsid w:val="00EF2540"/>
    <w:rsid w:val="00F114E8"/>
    <w:rsid w:val="00F155DA"/>
    <w:rsid w:val="00F262C9"/>
    <w:rsid w:val="00F321C6"/>
    <w:rsid w:val="00F449DF"/>
    <w:rsid w:val="00F47435"/>
    <w:rsid w:val="00F55E37"/>
    <w:rsid w:val="00F62E13"/>
    <w:rsid w:val="00F765C7"/>
    <w:rsid w:val="00F92CBC"/>
    <w:rsid w:val="00FA4CD8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F47435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F47435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5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7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2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3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060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18A6-BB3C-4BF9-89C9-F839461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2024-05-03T12:18:00Z</dcterms:created>
  <dcterms:modified xsi:type="dcterms:W3CDTF">2024-05-24T06:23:00Z</dcterms:modified>
</cp:coreProperties>
</file>