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Отдел государственного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контроля, надзора, охраны водных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биологических ресурсов и среды их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обитания по Ханты-Мансийскому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автономному округу – Югре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Нижнеобского</w:t>
      </w: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 территориального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управления Федерального агентства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 w:bidi="ar-SA"/>
        </w:rPr>
        <w:t xml:space="preserve">по рыболовству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NewRomanPSMT" w:hAnsi="TimesNewRomanPSMT" w:cs="TimesNewRomanPSMT" w:eastAsiaTheme="minorHAnsi"/>
          <w:sz w:val="28"/>
          <w:szCs w:val="28"/>
          <w:lang w:eastAsia="en-US" w:bidi="ar-SA"/>
        </w:rPr>
      </w:pPr>
      <w:r>
        <w:rPr>
          <w:rFonts w:ascii="TimesNewRomanPSMT" w:hAnsi="TimesNewRomanPSMT" w:cs="TimesNewRomanPSMT" w:eastAsiaTheme="minorHAnsi"/>
          <w:sz w:val="28"/>
          <w:szCs w:val="28"/>
          <w:lang w:eastAsia="en-US" w:bidi="ar-SA"/>
        </w:rPr>
      </w:r>
      <w:r/>
    </w:p>
    <w:p>
      <w:pPr>
        <w:jc w:val="right"/>
        <w:tabs>
          <w:tab w:val="left" w:pos="3974" w:leader="none"/>
        </w:tabs>
        <w:rPr>
          <w:rFonts w:ascii="TimesNewRomanPSMT" w:hAnsi="TimesNewRomanPSMT" w:cs="TimesNewRomanPSMT" w:eastAsiaTheme="minorHAnsi"/>
          <w:sz w:val="28"/>
          <w:szCs w:val="28"/>
          <w:lang w:eastAsia="en-US" w:bidi="ar-SA"/>
        </w:rPr>
      </w:pPr>
      <w:r>
        <w:rPr>
          <w:rFonts w:ascii="TimesNewRomanPSMT" w:hAnsi="TimesNewRomanPSMT" w:cs="TimesNewRomanPSMT" w:eastAsiaTheme="minorHAnsi"/>
          <w:sz w:val="28"/>
          <w:szCs w:val="28"/>
          <w:lang w:eastAsia="en-US" w:bidi="ar-SA"/>
        </w:rPr>
      </w:r>
      <w:r/>
    </w:p>
    <w:p>
      <w:pPr>
        <w:jc w:val="right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Ханты-Мансийск, ул. Гагарина, д. 186</w:t>
      </w:r>
      <w:r/>
    </w:p>
    <w:p>
      <w:pPr>
        <w:jc w:val="right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 w:cs="Times New Roman"/>
          <w:lang w:eastAsia="ru-RU" w:bidi="ar-SA"/>
        </w:rPr>
      </w:pPr>
      <w:r/>
      <w:r/>
      <w:r/>
      <w:hyperlink r:id="rId8" w:tooltip="mailto:goscontrol86@noturfish.ru" w:history="1">
        <w:r>
          <w:rPr>
            <w:rFonts w:ascii="Times New Roman" w:hAnsi="Times New Roman" w:eastAsia="Times New Roman" w:cs="Times New Roman"/>
            <w:sz w:val="28"/>
            <w:szCs w:val="28"/>
            <w:lang w:eastAsia="ru-RU" w:bidi="hi-IN"/>
          </w:rPr>
          <w:t xml:space="preserve">goscontrol86@</w:t>
        </w:r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tmn.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 w:bidi="hi-IN"/>
          </w:rPr>
          <w:t xml:space="preserve">f</w:t>
        </w:r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i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 w:bidi="hi-IN"/>
          </w:rPr>
          <w:t xml:space="preserve">sh.</w:t>
        </w:r>
        <w:r>
          <w:rPr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gov.</w:t>
        </w:r>
        <w:r>
          <w:rPr>
            <w:rFonts w:ascii="Times New Roman" w:hAnsi="Times New Roman" w:eastAsia="Times New Roman" w:cs="Times New Roman"/>
            <w:sz w:val="28"/>
            <w:szCs w:val="28"/>
            <w:lang w:eastAsia="ru-RU" w:bidi="hi-IN"/>
          </w:rPr>
          <w:t xml:space="preserve">ru</w:t>
        </w:r>
      </w:hyperlink>
      <w:r/>
      <w:r/>
    </w:p>
    <w:p>
      <w:pPr>
        <w:jc w:val="center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center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Отчет</w:t>
      </w:r>
      <w:r/>
    </w:p>
    <w:p>
      <w:pPr>
        <w:jc w:val="center"/>
        <w:tabs>
          <w:tab w:val="left" w:pos="3974" w:leader="none"/>
        </w:tabs>
      </w:pPr>
      <w:r>
        <w:rPr>
          <w:rFonts w:ascii="Times New Roman" w:hAnsi="Times New Roman"/>
          <w:bCs/>
          <w:sz w:val="28"/>
          <w:szCs w:val="28"/>
        </w:rPr>
        <w:t xml:space="preserve">о добыче (вылове) водных биоресурсов при </w:t>
      </w:r>
      <w:r>
        <w:rPr>
          <w:rFonts w:ascii="Times New Roman" w:hAnsi="Times New Roman"/>
          <w:sz w:val="28"/>
          <w:szCs w:val="28"/>
        </w:rPr>
        <w:t xml:space="preserve"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>
        <w:rPr>
          <w:rFonts w:ascii="Times New Roman" w:hAnsi="Times New Roman"/>
          <w:sz w:val="28"/>
          <w:szCs w:val="28"/>
          <w:lang w:val="en-US"/>
        </w:rPr>
        <w:t xml:space="preserve">3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год.</w:t>
      </w:r>
      <w:r/>
    </w:p>
    <w:p>
      <w:pPr>
        <w:jc w:val="center"/>
        <w:tabs>
          <w:tab w:val="left" w:pos="397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</w:t>
      </w:r>
      <w:r/>
    </w:p>
    <w:p>
      <w:pPr>
        <w:jc w:val="center"/>
        <w:tabs>
          <w:tab w:val="left" w:pos="3974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(ФИО, (для </w:t>
      </w:r>
      <w:r>
        <w:rPr>
          <w:rFonts w:ascii="Times New Roman" w:hAnsi="Times New Roman"/>
        </w:rPr>
        <w:t xml:space="preserve">граждан)/</w:t>
      </w:r>
      <w:r>
        <w:rPr>
          <w:rFonts w:ascii="Times New Roman" w:hAnsi="Times New Roman"/>
        </w:rPr>
        <w:t xml:space="preserve">Наименование Общины)</w:t>
      </w:r>
      <w:r/>
    </w:p>
    <w:tbl>
      <w:tblPr>
        <w:tblW w:w="9120" w:type="dxa"/>
        <w:tblInd w:w="84" w:type="dxa"/>
        <w:tblLook w:val="04A0" w:firstRow="1" w:lastRow="0" w:firstColumn="1" w:lastColumn="0" w:noHBand="0" w:noVBand="1"/>
      </w:tblPr>
      <w:tblGrid>
        <w:gridCol w:w="1754"/>
        <w:gridCol w:w="1981"/>
        <w:gridCol w:w="1560"/>
        <w:gridCol w:w="1845"/>
        <w:gridCol w:w="19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Вид водного биоресурса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Место (район/подрайон) добычи (вылова) водных биоресурсов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Орудия, способы добычи (вылова) водных биоресурсов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Представленный объем добычи (вылова) водного биоресурса, тонн/шт.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Вылов с начала года, тонн/шт.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</w:t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</w:t>
            </w:r>
            <w:r/>
          </w:p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район,</w:t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</w:t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</w:t>
            </w:r>
            <w:r/>
          </w:p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</w:t>
            </w:r>
            <w:r/>
          </w:p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водный</w:t>
            </w:r>
            <w:r/>
          </w:p>
          <w:p>
            <w:pPr>
              <w:jc w:val="center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4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jc w:val="both"/>
              <w:tabs>
                <w:tab w:val="left" w:pos="3974" w:leader="none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</w:tc>
      </w:tr>
    </w:tbl>
    <w:p>
      <w:pPr>
        <w:jc w:val="right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right"/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Дата, </w:t>
      </w:r>
      <w:r>
        <w:rPr>
          <w:rFonts w:ascii="Times New Roman" w:hAnsi="Times New Roman"/>
          <w:bCs/>
          <w:sz w:val="28"/>
          <w:szCs w:val="28"/>
        </w:rPr>
        <w:t xml:space="preserve">подпись:_</w:t>
      </w:r>
      <w:r>
        <w:rPr>
          <w:rFonts w:ascii="Times New Roman" w:hAnsi="Times New Roman"/>
          <w:bCs/>
          <w:sz w:val="28"/>
          <w:szCs w:val="28"/>
        </w:rPr>
        <w:t xml:space="preserve">_______________________________</w:t>
      </w:r>
      <w:r/>
    </w:p>
    <w:p>
      <w:pPr>
        <w:tabs>
          <w:tab w:val="left" w:pos="3974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М.П. (для общин)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Mangal">
    <w:panose1 w:val="02040503050406030204"/>
  </w:font>
  <w:font w:name="Segoe UI">
    <w:panose1 w:val="020B0502040204020203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Liberation Serif" w:hAnsi="Liberation Serif" w:eastAsia="NSimSun" w:cs="Arial"/>
      <w:sz w:val="24"/>
      <w:szCs w:val="24"/>
      <w:lang w:eastAsia="zh-CN" w:bidi="hi-IN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eastAsia="NSimSun" w:cs="Mangal"/>
      <w:sz w:val="18"/>
      <w:szCs w:val="16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goscontrol86@noturfish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revision>14</cp:revision>
  <dcterms:created xsi:type="dcterms:W3CDTF">2020-12-26T09:42:00Z</dcterms:created>
  <dcterms:modified xsi:type="dcterms:W3CDTF">2023-08-08T05:06:39Z</dcterms:modified>
</cp:coreProperties>
</file>