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 1 января по 30 июня 2025 года тарифы приняты на уровне декабря 2024 года.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автономного округа – Югры по муниципальным образованиям, с учетом параметров Прогноза социально-экономического развития РФ на 2025 год и последующие периоды 2026-2027 годов, одобренного Правительством РФ 24.09.2024.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Распоряжением Правительства РФ № 3287-р от 15.11.2024 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1 июля 2025 (далее – предельные индексы) не должны превышать 11,1%.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указанным решением, принятым на федеральном уровне, постановлением Губернатора автономного округа от 11.12.2023 № 185</w:t>
      </w:r>
      <w:proofErr w:type="gramStart"/>
      <w:r>
        <w:rPr>
          <w:rFonts w:ascii="Arial" w:hAnsi="Arial" w:cs="Arial"/>
          <w:color w:val="1E1D1E"/>
          <w:sz w:val="23"/>
          <w:szCs w:val="23"/>
        </w:rPr>
        <w:t>   (</w:t>
      </w:r>
      <w:proofErr w:type="gramEnd"/>
      <w:r>
        <w:rPr>
          <w:rFonts w:ascii="Arial" w:hAnsi="Arial" w:cs="Arial"/>
          <w:color w:val="1E1D1E"/>
          <w:sz w:val="23"/>
          <w:szCs w:val="23"/>
        </w:rPr>
        <w:t>в ред. от 11.12.2024 № 135) по всем муниципальным образованиям автономного округа утверждены предельные индексы на 2025 год: с 1 января – 0%, с 1 июля – 9,0% (</w:t>
      </w:r>
      <w:hyperlink r:id="rId4" w:tgtFrame="_blank" w:history="1">
        <w:r>
          <w:rPr>
            <w:rStyle w:val="a4"/>
            <w:rFonts w:ascii="Arial" w:hAnsi="Arial" w:cs="Arial"/>
            <w:color w:val="008040"/>
            <w:sz w:val="23"/>
            <w:szCs w:val="23"/>
            <w:u w:val="none"/>
          </w:rPr>
          <w:t>https://admhmao.ru/dokumenty/pravovye-akty-gubernatora/postanovleniya/10877131/</w:t>
        </w:r>
      </w:hyperlink>
      <w:r>
        <w:rPr>
          <w:rFonts w:ascii="Arial" w:hAnsi="Arial" w:cs="Arial"/>
          <w:color w:val="1E1D1E"/>
          <w:sz w:val="23"/>
          <w:szCs w:val="23"/>
          <w:u w:val="single"/>
        </w:rPr>
        <w:t>).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ресурсоснабжающим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организациям из бюджетной системы муниципального образования или субъекта РФ.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(</w:t>
      </w:r>
      <w:hyperlink r:id="rId5" w:tgtFrame="_blank" w:history="1">
        <w:r>
          <w:rPr>
            <w:rStyle w:val="a4"/>
            <w:rFonts w:ascii="Arial" w:hAnsi="Arial" w:cs="Arial"/>
            <w:color w:val="008040"/>
            <w:sz w:val="23"/>
            <w:szCs w:val="23"/>
            <w:u w:val="none"/>
          </w:rPr>
          <w:t>http://bptr.eias.admhmao.ru/TariffDecisions?reg=RU.5.86/</w:t>
        </w:r>
      </w:hyperlink>
      <w:r>
        <w:rPr>
          <w:rFonts w:ascii="Arial" w:hAnsi="Arial" w:cs="Arial"/>
          <w:color w:val="1E1D1E"/>
          <w:sz w:val="23"/>
          <w:szCs w:val="23"/>
        </w:rPr>
        <w:t>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отходами»/ «Газовая отрасль» (</w:t>
      </w:r>
      <w:hyperlink r:id="rId6" w:tgtFrame="_blank" w:history="1">
        <w:r>
          <w:rPr>
            <w:rStyle w:val="a4"/>
            <w:rFonts w:ascii="Arial" w:hAnsi="Arial" w:cs="Arial"/>
            <w:color w:val="008040"/>
            <w:sz w:val="23"/>
            <w:szCs w:val="23"/>
            <w:u w:val="none"/>
          </w:rPr>
          <w:t>https://rst.admhmao.ru/dokumenty/</w:t>
        </w:r>
      </w:hyperlink>
      <w:r>
        <w:rPr>
          <w:rFonts w:ascii="Arial" w:hAnsi="Arial" w:cs="Arial"/>
          <w:color w:val="1E1D1E"/>
          <w:sz w:val="23"/>
          <w:szCs w:val="23"/>
        </w:rPr>
        <w:t>).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сайте регионального оператора по обращению с твердыми коммунальными отходами АО «Югра-Экология» установлена программа для расчета платежа за услугу «Обращение с ТКО» (</w:t>
      </w:r>
      <w:hyperlink r:id="rId7" w:tgtFrame="_blank" w:history="1">
        <w:r>
          <w:rPr>
            <w:rStyle w:val="a4"/>
            <w:rFonts w:ascii="Arial" w:hAnsi="Arial" w:cs="Arial"/>
            <w:color w:val="008040"/>
            <w:sz w:val="23"/>
            <w:szCs w:val="23"/>
            <w:u w:val="none"/>
          </w:rPr>
          <w:t>https://www.yugra-ecology.ru/calculator</w:t>
        </w:r>
      </w:hyperlink>
      <w:r>
        <w:rPr>
          <w:rFonts w:ascii="Arial" w:hAnsi="Arial" w:cs="Arial"/>
          <w:color w:val="1E1D1E"/>
          <w:sz w:val="23"/>
          <w:szCs w:val="23"/>
        </w:rPr>
        <w:t>).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Информация об установленных тарифах на электрическую энергию для населения размещена на сайте РЭК (</w:t>
      </w:r>
      <w:hyperlink r:id="rId8" w:tgtFrame="_blank" w:history="1">
        <w:proofErr w:type="gramStart"/>
        <w:r>
          <w:rPr>
            <w:rStyle w:val="a4"/>
            <w:rFonts w:ascii="Arial" w:hAnsi="Arial" w:cs="Arial"/>
            <w:color w:val="008040"/>
            <w:sz w:val="23"/>
            <w:szCs w:val="23"/>
            <w:u w:val="none"/>
          </w:rPr>
          <w:t>https://rec.admtyumen.ru/</w:t>
        </w:r>
      </w:hyperlink>
      <w:r>
        <w:rPr>
          <w:rFonts w:ascii="Arial" w:hAnsi="Arial" w:cs="Arial"/>
          <w:color w:val="1E1D1E"/>
          <w:sz w:val="23"/>
          <w:szCs w:val="23"/>
        </w:rPr>
        <w:t>)  на</w:t>
      </w:r>
      <w:proofErr w:type="gramEnd"/>
      <w:r>
        <w:rPr>
          <w:rFonts w:ascii="Arial" w:hAnsi="Arial" w:cs="Arial"/>
          <w:color w:val="1E1D1E"/>
          <w:sz w:val="23"/>
          <w:szCs w:val="23"/>
        </w:rPr>
        <w:t xml:space="preserve"> главной странице «Деятельность», раздел «Нормативные правовые и ненормативные правовые акты».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 </w:t>
      </w:r>
      <w:hyperlink r:id="rId9" w:tgtFrame="_blank" w:history="1">
        <w:r>
          <w:rPr>
            <w:rStyle w:val="a4"/>
            <w:rFonts w:ascii="Arial" w:hAnsi="Arial" w:cs="Arial"/>
            <w:color w:val="008040"/>
            <w:sz w:val="23"/>
            <w:szCs w:val="23"/>
            <w:u w:val="none"/>
          </w:rPr>
          <w:t>https://jsn.admhmao.ru/.</w:t>
        </w:r>
      </w:hyperlink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 </w:t>
      </w:r>
      <w:hyperlink r:id="rId10" w:tgtFrame="_blank" w:history="1">
        <w:r>
          <w:rPr>
            <w:rStyle w:val="a4"/>
            <w:rFonts w:ascii="Arial" w:hAnsi="Arial" w:cs="Arial"/>
            <w:color w:val="008040"/>
            <w:sz w:val="23"/>
            <w:szCs w:val="23"/>
            <w:u w:val="none"/>
          </w:rPr>
          <w:t>https://ds.admhmao.ru/</w:t>
        </w:r>
      </w:hyperlink>
      <w:r>
        <w:rPr>
          <w:rFonts w:ascii="Arial" w:hAnsi="Arial" w:cs="Arial"/>
          <w:color w:val="1E1D1E"/>
          <w:sz w:val="23"/>
          <w:szCs w:val="23"/>
        </w:rPr>
        <w:t>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 </w:t>
      </w:r>
      <w:hyperlink r:id="rId11" w:tgtFrame="_blank" w:history="1">
        <w:r>
          <w:rPr>
            <w:rStyle w:val="a4"/>
            <w:rFonts w:ascii="Arial" w:hAnsi="Arial" w:cs="Arial"/>
            <w:color w:val="008040"/>
            <w:sz w:val="23"/>
            <w:szCs w:val="23"/>
            <w:u w:val="none"/>
          </w:rPr>
          <w:t>https://depprom.admhmao.ru/</w:t>
        </w:r>
      </w:hyperlink>
      <w:r>
        <w:rPr>
          <w:rFonts w:ascii="Arial" w:hAnsi="Arial" w:cs="Arial"/>
          <w:color w:val="1E1D1E"/>
          <w:sz w:val="23"/>
          <w:szCs w:val="23"/>
        </w:rPr>
        <w:t>.</w:t>
      </w:r>
    </w:p>
    <w:p w:rsidR="00887F60" w:rsidRDefault="00887F60" w:rsidP="00887F6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Style w:val="a5"/>
          <w:rFonts w:ascii="Arial" w:hAnsi="Arial" w:cs="Arial"/>
          <w:color w:val="1E1D1E"/>
          <w:sz w:val="23"/>
          <w:szCs w:val="23"/>
        </w:rPr>
        <w:t>РЕГИОНАЛЬНАЯ СЛУЖБА ПО ТАРИФАМ</w:t>
      </w:r>
      <w:r>
        <w:rPr>
          <w:rFonts w:ascii="Arial" w:hAnsi="Arial" w:cs="Arial"/>
          <w:b/>
          <w:bCs/>
          <w:color w:val="1E1D1E"/>
          <w:sz w:val="23"/>
          <w:szCs w:val="23"/>
        </w:rPr>
        <w:br/>
      </w:r>
      <w:r>
        <w:rPr>
          <w:rStyle w:val="a5"/>
          <w:rFonts w:ascii="Arial" w:hAnsi="Arial" w:cs="Arial"/>
          <w:color w:val="1E1D1E"/>
          <w:sz w:val="23"/>
          <w:szCs w:val="23"/>
        </w:rPr>
        <w:t>ХАНТЫ-МАНСИЙСКОГО АВТОНОМНОГО ОКРУГА </w:t>
      </w:r>
      <w:r>
        <w:rPr>
          <w:rFonts w:ascii="Arial" w:hAnsi="Arial" w:cs="Arial"/>
          <w:color w:val="1E1D1E"/>
          <w:sz w:val="23"/>
          <w:szCs w:val="23"/>
        </w:rPr>
        <w:t>– </w:t>
      </w:r>
      <w:proofErr w:type="gramStart"/>
      <w:r>
        <w:rPr>
          <w:rStyle w:val="a5"/>
          <w:rFonts w:ascii="Arial" w:hAnsi="Arial" w:cs="Arial"/>
          <w:color w:val="1E1D1E"/>
          <w:sz w:val="23"/>
          <w:szCs w:val="23"/>
        </w:rPr>
        <w:t>ЮГРЫ</w:t>
      </w:r>
      <w:r>
        <w:rPr>
          <w:rFonts w:ascii="Arial" w:hAnsi="Arial" w:cs="Arial"/>
          <w:b/>
          <w:bCs/>
          <w:color w:val="1E1D1E"/>
          <w:sz w:val="23"/>
          <w:szCs w:val="23"/>
        </w:rPr>
        <w:br/>
      </w:r>
      <w:r>
        <w:rPr>
          <w:rStyle w:val="a5"/>
          <w:rFonts w:ascii="Arial" w:hAnsi="Arial" w:cs="Arial"/>
          <w:color w:val="1E1D1E"/>
          <w:sz w:val="23"/>
          <w:szCs w:val="23"/>
        </w:rPr>
        <w:t>(</w:t>
      </w:r>
      <w:proofErr w:type="gramEnd"/>
      <w:r>
        <w:rPr>
          <w:rStyle w:val="a5"/>
          <w:rFonts w:ascii="Arial" w:hAnsi="Arial" w:cs="Arial"/>
          <w:color w:val="1E1D1E"/>
          <w:sz w:val="23"/>
          <w:szCs w:val="23"/>
        </w:rPr>
        <w:t>РСТ ЮГРЫ)</w:t>
      </w:r>
    </w:p>
    <w:p w:rsidR="00831836" w:rsidRDefault="00831836">
      <w:bookmarkStart w:id="0" w:name="_GoBack"/>
      <w:bookmarkEnd w:id="0"/>
    </w:p>
    <w:sectPr w:rsidR="0083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2A"/>
    <w:rsid w:val="00831836"/>
    <w:rsid w:val="00887F60"/>
    <w:rsid w:val="00B0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FDD89-C7ED-403E-AB87-7028912B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F60"/>
    <w:rPr>
      <w:color w:val="0000FF"/>
      <w:u w:val="single"/>
    </w:rPr>
  </w:style>
  <w:style w:type="character" w:styleId="a5">
    <w:name w:val="Strong"/>
    <w:basedOn w:val="a0"/>
    <w:uiPriority w:val="22"/>
    <w:qFormat/>
    <w:rsid w:val="00887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.admtyume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ugra-ecology.ru/calculato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s://depprom.admhmao.ru/" TargetMode="External"/><Relationship Id="rId5" Type="http://schemas.openxmlformats.org/officeDocument/2006/relationships/hyperlink" Target="http://bptr.eias.admhmao.ru/TariffDecisions?reg=RU.5.86" TargetMode="External"/><Relationship Id="rId10" Type="http://schemas.openxmlformats.org/officeDocument/2006/relationships/hyperlink" Target="https://ds.admhmao.ru/" TargetMode="External"/><Relationship Id="rId4" Type="http://schemas.openxmlformats.org/officeDocument/2006/relationships/hyperlink" Target="https://admhmao.ru/dokumenty/pravovye-akty-gubernatora/postanovleniya/10877131/" TargetMode="External"/><Relationship Id="rId9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2025-02-07T11:36:00Z</dcterms:created>
  <dcterms:modified xsi:type="dcterms:W3CDTF">2025-02-07T11:37:00Z</dcterms:modified>
</cp:coreProperties>
</file>