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3E" w:rsidRPr="00C91F07" w:rsidRDefault="00233B3E" w:rsidP="00C91F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>Отдел молодежной политики</w:t>
      </w:r>
    </w:p>
    <w:p w:rsidR="00233B3E" w:rsidRPr="00C91F07" w:rsidRDefault="00233B3E" w:rsidP="00C91F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>Кондинского</w:t>
      </w:r>
      <w:proofErr w:type="spellEnd"/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</w:t>
      </w:r>
    </w:p>
    <w:p w:rsidR="00233B3E" w:rsidRPr="00C91F07" w:rsidRDefault="00233B3E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P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575AC9DE" wp14:editId="50FF1EC4">
            <wp:simplePos x="0" y="0"/>
            <wp:positionH relativeFrom="column">
              <wp:posOffset>398780</wp:posOffset>
            </wp:positionH>
            <wp:positionV relativeFrom="paragraph">
              <wp:posOffset>83185</wp:posOffset>
            </wp:positionV>
            <wp:extent cx="4102100" cy="3100070"/>
            <wp:effectExtent l="171450" t="171450" r="374650" b="367030"/>
            <wp:wrapTight wrapText="bothSides">
              <wp:wrapPolygon edited="0">
                <wp:start x="1103" y="-1195"/>
                <wp:lineTo x="-903" y="-929"/>
                <wp:lineTo x="-903" y="20308"/>
                <wp:lineTo x="-702" y="22565"/>
                <wp:lineTo x="502" y="23759"/>
                <wp:lineTo x="602" y="24025"/>
                <wp:lineTo x="21968" y="24025"/>
                <wp:lineTo x="22068" y="23759"/>
                <wp:lineTo x="23272" y="22565"/>
                <wp:lineTo x="23472" y="531"/>
                <wp:lineTo x="22068" y="-929"/>
                <wp:lineTo x="21466" y="-1195"/>
                <wp:lineTo x="1103" y="-1195"/>
              </wp:wrapPolygon>
            </wp:wrapTight>
            <wp:docPr id="14" name="Рисунок 14" descr="http://fsk-lider.ru/articles/kvartiry-dlja-molodyh-semej/kvartiry-dlja-molodyh-semej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k-lider.ru/articles/kvartiry-dlja-molodyh-semej/kvartiry-dlja-molodyh-semej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100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453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C9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Междуреченский, 2016</w:t>
      </w: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Методические рекомендации </w:t>
      </w:r>
      <w:r w:rsidR="00F36A3F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поддержке молодой семьи 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(обеспечение жильем молодых семей).</w:t>
      </w: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F07" w:rsidRPr="00C91F07" w:rsidRDefault="00C91F07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3B3E" w:rsidRPr="00C91F07" w:rsidRDefault="00233B3E" w:rsidP="00D70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© </w:t>
      </w:r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Отдел молодежной политики администрации </w:t>
      </w:r>
      <w:proofErr w:type="spellStart"/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>Кондинского</w:t>
      </w:r>
      <w:proofErr w:type="spellEnd"/>
      <w:r w:rsidRPr="00C91F0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, 2016</w:t>
      </w:r>
    </w:p>
    <w:p w:rsidR="00233B3E" w:rsidRPr="00C91F07" w:rsidRDefault="00233B3E" w:rsidP="00D7057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br w:type="page"/>
      </w:r>
    </w:p>
    <w:p w:rsidR="00D70576" w:rsidRDefault="003B7B04" w:rsidP="00C91F07">
      <w:pPr>
        <w:spacing w:after="0" w:line="330" w:lineRule="atLeast"/>
        <w:jc w:val="center"/>
        <w:textAlignment w:val="baseline"/>
        <w:rPr>
          <w:rFonts w:ascii="Arial Black" w:eastAsia="Times New Roman" w:hAnsi="Arial Black" w:cs="Times New Roman"/>
          <w:sz w:val="20"/>
          <w:szCs w:val="20"/>
          <w:lang w:eastAsia="ru-RU"/>
        </w:rPr>
      </w:pPr>
      <w:r w:rsidRPr="00C91F07">
        <w:rPr>
          <w:rFonts w:ascii="Arial Black" w:eastAsia="Times New Roman" w:hAnsi="Arial Black" w:cs="Times New Roman"/>
          <w:sz w:val="20"/>
          <w:szCs w:val="20"/>
          <w:lang w:eastAsia="ru-RU"/>
        </w:rPr>
        <w:lastRenderedPageBreak/>
        <w:t>Молодежи – доступное жилье</w:t>
      </w:r>
    </w:p>
    <w:p w:rsidR="00C91F07" w:rsidRPr="00C91F07" w:rsidRDefault="00C91F07" w:rsidP="003B7B04">
      <w:pPr>
        <w:spacing w:after="0" w:line="330" w:lineRule="atLeast"/>
        <w:ind w:firstLine="709"/>
        <w:jc w:val="center"/>
        <w:textAlignment w:val="baseline"/>
        <w:rPr>
          <w:rFonts w:ascii="Arial Black" w:hAnsi="Arial Black" w:cs="Times New Roman"/>
          <w:sz w:val="20"/>
          <w:szCs w:val="20"/>
          <w:shd w:val="clear" w:color="auto" w:fill="FFFFFF"/>
        </w:rPr>
      </w:pPr>
    </w:p>
    <w:p w:rsidR="006473DD" w:rsidRPr="00C91F07" w:rsidRDefault="00DE4D2A" w:rsidP="00C91F0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CFDC866" wp14:editId="0EFDD623">
            <wp:simplePos x="0" y="0"/>
            <wp:positionH relativeFrom="column">
              <wp:posOffset>7620</wp:posOffset>
            </wp:positionH>
            <wp:positionV relativeFrom="paragraph">
              <wp:posOffset>480060</wp:posOffset>
            </wp:positionV>
            <wp:extent cx="3255645" cy="1333500"/>
            <wp:effectExtent l="0" t="0" r="1905" b="0"/>
            <wp:wrapTight wrapText="bothSides">
              <wp:wrapPolygon edited="0">
                <wp:start x="0" y="0"/>
                <wp:lineTo x="0" y="21291"/>
                <wp:lineTo x="21486" y="21291"/>
                <wp:lineTo x="21486" y="0"/>
                <wp:lineTo x="0" y="0"/>
              </wp:wrapPolygon>
            </wp:wrapTight>
            <wp:docPr id="17" name="Рисунок 17" descr="http://gnlomov.nlomov.pnzreg.ru/files/gnlomov_nlomov_pnzreg_ru/iyun_2016/49851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nlomov.nlomov.pnzreg.ru/files/gnlomov_nlomov_pnzreg_ru/iyun_2016/498514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DD"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На сегодняшний день самой актуальной проблемой для молодой семьи является жилищный вопрос. Ведь только единицам на свадьбу дарят квартиры и машины, другим подаренных денежных сре</w:t>
      </w:r>
      <w:proofErr w:type="gramStart"/>
      <w:r w:rsidR="006473DD"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дств хв</w:t>
      </w:r>
      <w:proofErr w:type="gramEnd"/>
      <w:r w:rsidR="006473DD"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атает обычно в лучшем случае на половину приобретаемой недвижимости. Большинству же при этом все-таки приходится решать жилищный вопрос вообще самостоятельно, и иногда на это уходят долгие годы. В данном случае выигрывает тот, кто обладает достаточной информацией</w:t>
      </w:r>
      <w:r w:rsidR="00AB6A02"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657AE2" w:rsidRPr="00C91F07" w:rsidRDefault="006473DD" w:rsidP="00C91F0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Важным аспектом программы «Молодой семье – доступное жилье» является её особенности в каждом регионе нашей страны</w:t>
      </w:r>
      <w:r w:rsidR="00D70576" w:rsidRPr="00C91F0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E4D2A" w:rsidRPr="00C91F07" w:rsidRDefault="00A951FF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085E9779" wp14:editId="2FE5ABA3">
            <wp:simplePos x="0" y="0"/>
            <wp:positionH relativeFrom="column">
              <wp:posOffset>8255</wp:posOffset>
            </wp:positionH>
            <wp:positionV relativeFrom="paragraph">
              <wp:posOffset>1500505</wp:posOffset>
            </wp:positionV>
            <wp:extent cx="2524125" cy="1697990"/>
            <wp:effectExtent l="0" t="0" r="9525" b="0"/>
            <wp:wrapTight wrapText="bothSides">
              <wp:wrapPolygon edited="0">
                <wp:start x="0" y="0"/>
                <wp:lineTo x="0" y="21325"/>
                <wp:lineTo x="21518" y="21325"/>
                <wp:lineTo x="21518" y="0"/>
                <wp:lineTo x="0" y="0"/>
              </wp:wrapPolygon>
            </wp:wrapTight>
            <wp:docPr id="20" name="Рисунок 20" descr="http://semyafamily.ru/fotografii/semya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yafamily.ru/fotografii/semya53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2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Окружная программа «Молодая семья» </w:t>
      </w:r>
      <w:proofErr w:type="gramStart"/>
      <w:r w:rsidR="00DE4D2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DE4D2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DE4D2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AB6A02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анты-Мансийском</w:t>
      </w:r>
      <w:proofErr w:type="gramEnd"/>
      <w:r w:rsidR="00AB6A02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автономном округе</w:t>
      </w:r>
      <w:r w:rsidR="00DE4D2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-Югре в действует с 2005 года. В настоящее время её работа осуществляется в рамках реализации мероприятий «Улучшение жилищных условий молодых семей в соответствии с </w:t>
      </w:r>
      <w:r w:rsidR="00861206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федеральной целевой программы «Жилище» на 2015-2020 годы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подпрограммы 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«Обеспечение мерами государственной поддержки по улучшению жилищных условий отдельных категорий граждан» государственной программы Ханты-Мансийского автономного округа-Югры «Обеспечение доступным и комфортным жильем жителей Ханты-</w:t>
      </w:r>
      <w:r w:rsidR="00AB6A02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Мансийского автономного округа-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Югры в 2016-2020 годах», утвержденным постановлением Правительства автономного округа от 9 октября 2013 года № 408-п. </w:t>
      </w:r>
      <w:proofErr w:type="gramStart"/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Участником мероприятия  может быть молодая семья, в том числе молодая семья, имеющая одного и более детей, где один из супругов не является гражданином РФ, а также неполная молодая семья, состоящая из одного молодого родителя в неполной семье не превышает 35 лет на день принятия Департаментом строительства автономного  округа решения о включении молодой семьи – участницы мероприятия в список претендентов на получение</w:t>
      </w:r>
      <w:proofErr w:type="gramEnd"/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социальной выплаты в планируемом году. При наличии у семьи доходов, позволяющих получить кредит, либо иных денежных средств, достаточных для оплаты расчетной (с</w:t>
      </w:r>
      <w:r w:rsidR="00274D78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едней) стоимости жилья в части, </w:t>
      </w:r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превышающей размер предоставляемой социальной выплаты, </w:t>
      </w:r>
      <w:proofErr w:type="gramStart"/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признанная</w:t>
      </w:r>
      <w:proofErr w:type="gramEnd"/>
      <w:r w:rsidR="00FB504C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74D78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нуждающейся в улучшении жилищных условий.</w:t>
      </w:r>
      <w:r w:rsidR="00393D60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66B23" w:rsidRPr="00C91F07" w:rsidRDefault="00266B23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участия в мероприятии признается заявитель, имеющий место жительства на территории автономного округа совокупно в течение 15 лет. Причем соответствовать критерию проживания на территории автономного округа должен каждый из супругов молодой семьи, а в неполной молодой семье – молодой родитель.</w:t>
      </w:r>
    </w:p>
    <w:p w:rsidR="00266B23" w:rsidRPr="00C91F07" w:rsidRDefault="00C91F07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18F66C47" wp14:editId="40A48E06">
            <wp:simplePos x="0" y="0"/>
            <wp:positionH relativeFrom="column">
              <wp:posOffset>2287270</wp:posOffset>
            </wp:positionH>
            <wp:positionV relativeFrom="paragraph">
              <wp:posOffset>50165</wp:posOffset>
            </wp:positionV>
            <wp:extent cx="2352675" cy="1617345"/>
            <wp:effectExtent l="0" t="0" r="9525" b="1905"/>
            <wp:wrapTight wrapText="bothSides">
              <wp:wrapPolygon edited="0">
                <wp:start x="0" y="0"/>
                <wp:lineTo x="0" y="21371"/>
                <wp:lineTo x="21513" y="21371"/>
                <wp:lineTo x="21513" y="0"/>
                <wp:lineTo x="0" y="0"/>
              </wp:wrapPolygon>
            </wp:wrapTight>
            <wp:docPr id="24" name="Рисунок 24" descr="http://tvoiportal.mol-pol43.ru/wp-content/uploads/2014/04/139168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iportal.mol-pol43.ru/wp-content/uploads/2014/04/1391686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0CD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выплата предоставляется в размере:</w:t>
      </w:r>
    </w:p>
    <w:p w:rsidR="004500CD" w:rsidRPr="00C91F07" w:rsidRDefault="004500CD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30 % расчетной (средней) стоимости жилья – для молодых семей, не имеющих детей;</w:t>
      </w:r>
    </w:p>
    <w:p w:rsidR="004500CD" w:rsidRPr="00C91F07" w:rsidRDefault="004500CD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35 % расчетной (средней) стоимости  жилья –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4500CD" w:rsidRPr="00C91F07" w:rsidRDefault="006421AE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Социальная выплата предоставляется за счет средств федерального бюджета, бюджета автономного округа, средств местных бюджетов.</w:t>
      </w:r>
    </w:p>
    <w:p w:rsidR="00977E81" w:rsidRPr="00C91F07" w:rsidRDefault="00977E81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</w:t>
      </w:r>
      <w:proofErr w:type="spellStart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софинансирование</w:t>
      </w:r>
      <w:proofErr w:type="spellEnd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расходн</w:t>
      </w:r>
      <w:r w:rsidR="00A951FF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обязательств субъектов Росси</w:t>
      </w: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йской Федерации на предоставление социальной выплаты в виде субсидии молодым семьям на приобретение (строительство) жилья.</w:t>
      </w:r>
    </w:p>
    <w:p w:rsidR="005B0AD6" w:rsidRPr="00C91F07" w:rsidRDefault="00A951FF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счет средств местного бюджета предоставляется не менее 5 % от суммы социальной выплаты в виде субсидии, определяемой в соответствии </w:t>
      </w:r>
      <w:proofErr w:type="gramStart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настоящим порядком.</w:t>
      </w:r>
    </w:p>
    <w:p w:rsidR="00A951FF" w:rsidRPr="00C91F07" w:rsidRDefault="00A951FF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Оставшийся размер социальной выплаты предоставляется за счет средств бюджета автономного округа.</w:t>
      </w:r>
    </w:p>
    <w:p w:rsidR="00A951FF" w:rsidRPr="00C91F07" w:rsidRDefault="00A951FF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Участнику мероприятия, получившему свидетельство на приобретение (строительство) жилья, при рождении (усыновл</w:t>
      </w:r>
      <w:r w:rsidR="00AC393A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ении) ребенка д</w:t>
      </w: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окончания срока действия свидетельства предоставляется дополнительная субсидия за счет средств бюджета автономного округа в размере 5 % расчетной (средней) стоимости жилья.</w:t>
      </w:r>
    </w:p>
    <w:p w:rsidR="00657AE2" w:rsidRPr="00C91F07" w:rsidRDefault="00DE5F45" w:rsidP="00C91F07">
      <w:pPr>
        <w:tabs>
          <w:tab w:val="left" w:pos="0"/>
          <w:tab w:val="left" w:pos="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подведем итоги.</w:t>
      </w:r>
    </w:p>
    <w:p w:rsidR="00657AE2" w:rsidRPr="00C91F07" w:rsidRDefault="00657AE2" w:rsidP="00C91F07">
      <w:pPr>
        <w:tabs>
          <w:tab w:val="left" w:pos="0"/>
          <w:tab w:val="left" w:pos="825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20"/>
          <w:szCs w:val="20"/>
          <w:lang w:eastAsia="ru-RU"/>
        </w:rPr>
      </w:pPr>
      <w:r w:rsidRPr="00C91F07"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  <w:t xml:space="preserve">Условия </w:t>
      </w:r>
      <w:r w:rsidR="00222BF8" w:rsidRPr="00C91F07"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  <w:t>участия в программе</w:t>
      </w:r>
    </w:p>
    <w:p w:rsidR="00657AE2" w:rsidRPr="00C91F07" w:rsidRDefault="00657AE2" w:rsidP="00C91F07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Участники программы не старше 35 лет. </w:t>
      </w:r>
    </w:p>
    <w:p w:rsidR="00657AE2" w:rsidRPr="00C91F07" w:rsidRDefault="00657AE2" w:rsidP="00C91F07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Проживание обоих супругов не менее 15 лет на территории ХМАО.</w:t>
      </w:r>
    </w:p>
    <w:p w:rsidR="00657AE2" w:rsidRPr="00C91F07" w:rsidRDefault="00657AE2" w:rsidP="00C91F07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Нуждаемость в жилых помещениях.</w:t>
      </w:r>
    </w:p>
    <w:p w:rsidR="00657AE2" w:rsidRPr="00C91F07" w:rsidRDefault="00657AE2" w:rsidP="00C91F07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Платежеспособность.</w:t>
      </w:r>
    </w:p>
    <w:p w:rsidR="00657AE2" w:rsidRPr="00C91F07" w:rsidRDefault="00657AE2" w:rsidP="00C91F07">
      <w:pPr>
        <w:pStyle w:val="a5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Льготн</w:t>
      </w:r>
      <w:r w:rsidR="00222BF8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категори</w:t>
      </w:r>
      <w:r w:rsidR="00222BF8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многодетные семьи и вставшие в поселение на учет в качестве </w:t>
      </w:r>
      <w:proofErr w:type="gramStart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нуждающихся</w:t>
      </w:r>
      <w:proofErr w:type="gramEnd"/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1 марта 2005 года.</w:t>
      </w:r>
    </w:p>
    <w:p w:rsidR="00C91F07" w:rsidRDefault="00C91F07" w:rsidP="00C91F07">
      <w:pPr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</w:pPr>
    </w:p>
    <w:p w:rsidR="00657AE2" w:rsidRPr="00C91F07" w:rsidRDefault="00657AE2" w:rsidP="00C91F07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</w:pPr>
      <w:r w:rsidRPr="00C91F07"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  <w:lastRenderedPageBreak/>
        <w:t xml:space="preserve">Перечень документов, необходимых для постановки на учет по программе «Улучшение жилищных условий </w:t>
      </w:r>
      <w:r w:rsidR="00222BF8" w:rsidRPr="00C91F07">
        <w:rPr>
          <w:rFonts w:ascii="Arial Black" w:eastAsia="Times New Roman" w:hAnsi="Arial Black" w:cs="Times New Roman"/>
          <w:b/>
          <w:color w:val="000000"/>
          <w:sz w:val="20"/>
          <w:szCs w:val="20"/>
          <w:u w:val="single"/>
          <w:lang w:eastAsia="ru-RU"/>
        </w:rPr>
        <w:t>молодых семей»</w:t>
      </w:r>
    </w:p>
    <w:p w:rsidR="00657AE2" w:rsidRPr="00C91F07" w:rsidRDefault="00C91F07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03E958CC" wp14:editId="2A002AB4">
            <wp:simplePos x="0" y="0"/>
            <wp:positionH relativeFrom="column">
              <wp:posOffset>2314575</wp:posOffset>
            </wp:positionH>
            <wp:positionV relativeFrom="paragraph">
              <wp:posOffset>114300</wp:posOffset>
            </wp:positionV>
            <wp:extent cx="2301875" cy="1856740"/>
            <wp:effectExtent l="0" t="0" r="3175" b="0"/>
            <wp:wrapTight wrapText="bothSides">
              <wp:wrapPolygon edited="0">
                <wp:start x="0" y="0"/>
                <wp:lineTo x="0" y="21275"/>
                <wp:lineTo x="21451" y="21275"/>
                <wp:lineTo x="21451" y="0"/>
                <wp:lineTo x="0" y="0"/>
              </wp:wrapPolygon>
            </wp:wrapTight>
            <wp:docPr id="22" name="Рисунок 22" descr="http://www.gorno-altaisk.info/wp-content/uploads/2015/10/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rno-altaisk.info/wp-content/uploads/2015/10/f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F8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паспортов всех страниц (пустые тоже).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свидетельства о рождении детей.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заключении брака.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ИНН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 составе семьи.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Справка о </w:t>
      </w:r>
      <w:proofErr w:type="gramStart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зарегистрированных</w:t>
      </w:r>
      <w:proofErr w:type="gramEnd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месту жительства (с указанием степени родства, даты регистрации)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из БТИ заявителей о наличии (отсутствии) недвижимого имуществ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а (при смене фамилии после 1999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на прежнюю фамилию, если прописаны у родителей, справки на родителей тоже, а также на детей до1999 года рождения.).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Выписка из рег. палаты заявителей, детей, (при смене фамилии и на предыдущую фамилию) </w:t>
      </w:r>
      <w:r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имеющиеся и имев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шиеся права за период 2011-2016г</w:t>
      </w:r>
      <w:r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(запрашиваются отделом жилищной политики)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</w:t>
      </w:r>
      <w:proofErr w:type="gramStart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последние 6 месяцев.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Копия  государственного сертификата на материнский (семейный) капитал.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11. Справки банка о размере кредита, который банк готов предоставить члену (членам) молодой семьи для приобретения жилья, с указанием цели и срока его предоставления.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12. Выписки банка о наличии собственных средств, находящихся на счете членов молодой семьи</w:t>
      </w:r>
      <w:proofErr w:type="gramStart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 имеются накопления)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7AE2" w:rsidRPr="00C91F07" w:rsidRDefault="00C91F07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1F0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44622F1D" wp14:editId="05B651D1">
            <wp:simplePos x="0" y="0"/>
            <wp:positionH relativeFrom="column">
              <wp:posOffset>7620</wp:posOffset>
            </wp:positionH>
            <wp:positionV relativeFrom="paragraph">
              <wp:posOffset>619760</wp:posOffset>
            </wp:positionV>
            <wp:extent cx="213614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82" y="21373"/>
                <wp:lineTo x="21382" y="0"/>
                <wp:lineTo x="0" y="0"/>
              </wp:wrapPolygon>
            </wp:wrapTight>
            <wp:docPr id="23" name="Рисунок 23" descr="http://www.netestate.ru/attachements/126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testate.ru/attachements/126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13. Документ, подтверждающий  предоставление (</w:t>
      </w:r>
      <w:proofErr w:type="spellStart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непредоставление</w:t>
      </w:r>
      <w:proofErr w:type="spellEnd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) гражданину в установленном порядке от органа гос. власти или органа местного самоуправления земельного участка для строительства жилого дома</w:t>
      </w:r>
      <w:proofErr w:type="gramStart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</w:t>
      </w:r>
      <w:proofErr w:type="gramStart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="00657AE2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а исключением граждан имеющих   трех и более детей)</w:t>
      </w:r>
      <w:r w:rsidR="00657AE2"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(запрашиваются отделом жилищной политики)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14. Выписка из органов местного самоуправления о постановке на учет в качестве нуждающихся (если имеется постановка до 1 марта 2005 года).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Документы на занимаемое жилое помещение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="00446C09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7AE2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lang w:eastAsia="ru-RU"/>
        </w:rPr>
        <w:t>17.Справка о количестве лет проживания на территории ХМАО (оба супруга).</w:t>
      </w:r>
    </w:p>
    <w:p w:rsidR="00775406" w:rsidRPr="00C91F07" w:rsidRDefault="00657AE2" w:rsidP="00C9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18.СНИЛС</w:t>
      </w:r>
      <w:r w:rsidR="00E35A55" w:rsidRPr="00C91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75406" w:rsidRPr="00C91F0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br w:type="page"/>
      </w:r>
    </w:p>
    <w:p w:rsidR="006473DD" w:rsidRPr="00C91F07" w:rsidRDefault="006473DD" w:rsidP="00C91F0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Минусы и подводные камни программы обеспечения жильем</w:t>
      </w:r>
    </w:p>
    <w:p w:rsidR="00775406" w:rsidRPr="00C91F07" w:rsidRDefault="00775406" w:rsidP="00C91F07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6473DD" w:rsidRPr="00C91F07" w:rsidRDefault="00E35A55" w:rsidP="00C91F0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3CEAC6E" wp14:editId="0AB9EF2D">
            <wp:simplePos x="0" y="0"/>
            <wp:positionH relativeFrom="column">
              <wp:posOffset>-5715</wp:posOffset>
            </wp:positionH>
            <wp:positionV relativeFrom="paragraph">
              <wp:posOffset>16510</wp:posOffset>
            </wp:positionV>
            <wp:extent cx="19907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97" y="21466"/>
                <wp:lineTo x="21497" y="0"/>
                <wp:lineTo x="0" y="0"/>
              </wp:wrapPolygon>
            </wp:wrapTight>
            <wp:docPr id="21" name="Рисунок 21" descr="http://09-news.ru/wp-content/uploads/2013/05/dom-dlja-semi-300x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09-news.ru/wp-content/uploads/2013/05/dom-dlja-semi-300x1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3DD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Программа «Молодая семья» имеет обусловленные объективными причинами минусы, работа над которыми продолжается на государственном уровне.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Увеличение числа участников прогр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аммы ведет к увеличению очереди.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Приоритетным направлением программы является постройка жилья для среднего к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ласса, а не приобретение нового.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На помощь могут рассчитывать только семьи 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постоянным уровнем дохода.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Финансовая помощь по федеральной программе не может покрыть все материальные потребности, так как составляет около 30 % стоимости жилья, в то время как для квартиры на семью из трех человек пределом яв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ляется сумма в 800 тысяч рублей.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Максимальная сумма ипотечного кредита также име</w:t>
      </w:r>
      <w:r w:rsidR="009708D3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ет предел в 2,2 миллиона рублей.</w:t>
      </w:r>
    </w:p>
    <w:p w:rsidR="006473DD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Молодые семьи, вставш</w:t>
      </w:r>
      <w:r w:rsidR="00E35A55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ие на учет после января 2</w:t>
      </w: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011 года, не могут использовать субсидию на приобретение вторичного жилья (предыдущая версия программы допускала использование субсидии на любой стадии ипотеки). Им доступно только новое жилье или долевое участие в строительстве н</w:t>
      </w:r>
      <w:r w:rsidR="009708D3"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ового жилья.</w:t>
      </w:r>
    </w:p>
    <w:p w:rsidR="00775406" w:rsidRPr="00C91F07" w:rsidRDefault="006473DD" w:rsidP="00C91F07">
      <w:pPr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C91F0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Необходимость ежемесячных и немалых выплат ипотечного кредита. До полного погашения ипотеки семья не является полноправным собственником жилья.</w:t>
      </w:r>
    </w:p>
    <w:p w:rsidR="00C91F07" w:rsidRDefault="00C91F07" w:rsidP="00C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C91F07" w:rsidRDefault="00C91F07" w:rsidP="00271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2714D8" w:rsidRDefault="002714D8" w:rsidP="002714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307DEE" w:rsidRPr="002A0FBC" w:rsidRDefault="00775406" w:rsidP="00307D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2714D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 w:type="page"/>
      </w:r>
    </w:p>
    <w:p w:rsidR="00307DEE" w:rsidRDefault="00307DEE" w:rsidP="00307DEE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aps/>
          <w:sz w:val="24"/>
          <w:szCs w:val="24"/>
        </w:rPr>
      </w:pPr>
    </w:p>
    <w:p w:rsidR="00307DEE" w:rsidRDefault="00307DEE" w:rsidP="00307DEE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по</w:t>
      </w:r>
      <w:r w:rsidRPr="00307DE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вопросам</w:t>
      </w:r>
      <w:r w:rsidRPr="00307DE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участия</w:t>
      </w:r>
      <w:r w:rsidRPr="00307DEE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307DEE" w:rsidRDefault="00307DEE" w:rsidP="00307DEE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aps/>
          <w:sz w:val="24"/>
          <w:szCs w:val="24"/>
        </w:rPr>
      </w:pP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в</w:t>
      </w:r>
      <w:r w:rsidRPr="00307DE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жилищных</w:t>
      </w:r>
      <w:r w:rsidRPr="00307DE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>программах можно обращаться</w:t>
      </w:r>
    </w:p>
    <w:p w:rsidR="00307DEE" w:rsidRPr="00307DEE" w:rsidRDefault="00307DEE" w:rsidP="00307DEE">
      <w:pPr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aps/>
          <w:sz w:val="24"/>
          <w:szCs w:val="24"/>
        </w:rPr>
      </w:pPr>
      <w:r w:rsidRPr="00307DEE">
        <w:rPr>
          <w:rStyle w:val="a6"/>
          <w:rFonts w:ascii="Times New Roman" w:hAnsi="Times New Roman" w:cs="Times New Roman"/>
          <w:caps/>
          <w:sz w:val="24"/>
          <w:szCs w:val="24"/>
        </w:rPr>
        <w:t xml:space="preserve"> по адресу:</w:t>
      </w:r>
    </w:p>
    <w:p w:rsidR="00307DEE" w:rsidRDefault="00307DEE" w:rsidP="00307DEE">
      <w:pPr>
        <w:spacing w:after="0" w:line="240" w:lineRule="auto"/>
        <w:contextualSpacing/>
        <w:rPr>
          <w:rStyle w:val="a6"/>
        </w:rPr>
      </w:pPr>
    </w:p>
    <w:p w:rsidR="00307DEE" w:rsidRPr="002714D8" w:rsidRDefault="00307DEE" w:rsidP="00307D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714D8">
        <w:rPr>
          <w:rFonts w:ascii="Times New Roman" w:hAnsi="Times New Roman" w:cs="Times New Roman"/>
          <w:bCs/>
          <w:sz w:val="20"/>
          <w:szCs w:val="20"/>
        </w:rPr>
        <w:t>п. Междуреченский</w:t>
      </w:r>
    </w:p>
    <w:p w:rsidR="00307DEE" w:rsidRPr="002714D8" w:rsidRDefault="00307DEE" w:rsidP="00307D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714D8">
        <w:rPr>
          <w:rFonts w:ascii="Times New Roman" w:hAnsi="Times New Roman" w:cs="Times New Roman"/>
          <w:bCs/>
          <w:sz w:val="20"/>
          <w:szCs w:val="20"/>
        </w:rPr>
        <w:t>ул. Титова, 24</w:t>
      </w:r>
    </w:p>
    <w:p w:rsidR="00307DEE" w:rsidRPr="002714D8" w:rsidRDefault="00307DEE" w:rsidP="00307D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2714D8">
        <w:rPr>
          <w:rFonts w:ascii="Times New Roman" w:hAnsi="Times New Roman" w:cs="Times New Roman"/>
          <w:bCs/>
          <w:sz w:val="20"/>
          <w:szCs w:val="20"/>
        </w:rPr>
        <w:t>Комитет по управлению муниципальным имуществом</w:t>
      </w:r>
    </w:p>
    <w:p w:rsidR="00307DEE" w:rsidRPr="002714D8" w:rsidRDefault="00307DEE" w:rsidP="00307DE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2714D8">
        <w:rPr>
          <w:rFonts w:ascii="Times New Roman" w:hAnsi="Times New Roman" w:cs="Times New Roman"/>
          <w:bCs/>
          <w:iCs/>
          <w:sz w:val="20"/>
          <w:szCs w:val="20"/>
        </w:rPr>
        <w:t>Отдел жилищной политики</w:t>
      </w:r>
    </w:p>
    <w:p w:rsidR="00307DEE" w:rsidRDefault="00307DEE" w:rsidP="00307D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07DEE" w:rsidRPr="002714D8" w:rsidRDefault="00307DEE" w:rsidP="00307D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714D8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714D8">
        <w:rPr>
          <w:rFonts w:ascii="Times New Roman" w:hAnsi="Times New Roman" w:cs="Times New Roman"/>
          <w:bCs/>
          <w:sz w:val="20"/>
          <w:szCs w:val="20"/>
        </w:rPr>
        <w:t xml:space="preserve">Куликов Артур Михайлович </w:t>
      </w:r>
      <w:r w:rsidRPr="002714D8">
        <w:rPr>
          <w:rFonts w:ascii="Times New Roman" w:hAnsi="Times New Roman" w:cs="Times New Roman"/>
          <w:sz w:val="20"/>
          <w:szCs w:val="20"/>
        </w:rPr>
        <w:t>тел.: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714D8">
        <w:rPr>
          <w:rFonts w:ascii="Times New Roman" w:hAnsi="Times New Roman" w:cs="Times New Roman"/>
          <w:sz w:val="20"/>
          <w:szCs w:val="20"/>
        </w:rPr>
        <w:t xml:space="preserve"> </w:t>
      </w:r>
      <w:r w:rsidRPr="002714D8">
        <w:rPr>
          <w:rFonts w:ascii="Times New Roman" w:hAnsi="Times New Roman" w:cs="Times New Roman"/>
          <w:bCs/>
          <w:sz w:val="20"/>
          <w:szCs w:val="20"/>
        </w:rPr>
        <w:t>32-960</w:t>
      </w:r>
    </w:p>
    <w:p w:rsidR="00307DEE" w:rsidRPr="002714D8" w:rsidRDefault="00307DEE" w:rsidP="00307D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714D8">
        <w:rPr>
          <w:rFonts w:ascii="Times New Roman" w:hAnsi="Times New Roman" w:cs="Times New Roman"/>
          <w:sz w:val="20"/>
          <w:szCs w:val="20"/>
        </w:rPr>
        <w:t xml:space="preserve">специалист-эксперт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714D8">
        <w:rPr>
          <w:rFonts w:ascii="Times New Roman" w:hAnsi="Times New Roman" w:cs="Times New Roman"/>
          <w:bCs/>
          <w:sz w:val="20"/>
          <w:szCs w:val="20"/>
        </w:rPr>
        <w:t xml:space="preserve">Данишевская Светлана  Александровна </w:t>
      </w:r>
      <w:r>
        <w:rPr>
          <w:rFonts w:ascii="Times New Roman" w:hAnsi="Times New Roman" w:cs="Times New Roman"/>
          <w:bCs/>
          <w:sz w:val="20"/>
          <w:szCs w:val="20"/>
        </w:rPr>
        <w:t xml:space="preserve"> тел.:</w:t>
      </w:r>
      <w:r w:rsidR="005E040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2714D8">
        <w:rPr>
          <w:rFonts w:ascii="Times New Roman" w:hAnsi="Times New Roman" w:cs="Times New Roman"/>
          <w:bCs/>
          <w:sz w:val="20"/>
          <w:szCs w:val="20"/>
        </w:rPr>
        <w:t>41-833</w:t>
      </w:r>
    </w:p>
    <w:p w:rsidR="00307DEE" w:rsidRPr="002714D8" w:rsidRDefault="00307DEE" w:rsidP="00307DE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714D8"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2714D8">
        <w:rPr>
          <w:rFonts w:ascii="Times New Roman" w:hAnsi="Times New Roman" w:cs="Times New Roman"/>
          <w:bCs/>
          <w:sz w:val="20"/>
          <w:szCs w:val="20"/>
        </w:rPr>
        <w:t>Вурм</w:t>
      </w:r>
      <w:proofErr w:type="spellEnd"/>
      <w:r w:rsidRPr="002714D8">
        <w:rPr>
          <w:rFonts w:ascii="Times New Roman" w:hAnsi="Times New Roman" w:cs="Times New Roman"/>
          <w:bCs/>
          <w:sz w:val="20"/>
          <w:szCs w:val="20"/>
        </w:rPr>
        <w:t xml:space="preserve"> Марина Владимировна </w:t>
      </w:r>
      <w:r w:rsidRPr="002714D8">
        <w:rPr>
          <w:rFonts w:ascii="Times New Roman" w:hAnsi="Times New Roman" w:cs="Times New Roman"/>
          <w:sz w:val="20"/>
          <w:szCs w:val="20"/>
        </w:rPr>
        <w:t>тел.: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E040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4D8">
        <w:rPr>
          <w:rFonts w:ascii="Times New Roman" w:hAnsi="Times New Roman" w:cs="Times New Roman"/>
          <w:sz w:val="20"/>
          <w:szCs w:val="20"/>
        </w:rPr>
        <w:t xml:space="preserve"> </w:t>
      </w:r>
      <w:r w:rsidRPr="002714D8">
        <w:rPr>
          <w:rFonts w:ascii="Times New Roman" w:hAnsi="Times New Roman" w:cs="Times New Roman"/>
          <w:bCs/>
          <w:sz w:val="20"/>
          <w:szCs w:val="20"/>
        </w:rPr>
        <w:t>41-927</w:t>
      </w:r>
    </w:p>
    <w:p w:rsidR="007C3937" w:rsidRDefault="00906EF4">
      <w:pP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795D570" wp14:editId="2A2A186F">
            <wp:simplePos x="0" y="0"/>
            <wp:positionH relativeFrom="column">
              <wp:posOffset>1263015</wp:posOffset>
            </wp:positionH>
            <wp:positionV relativeFrom="paragraph">
              <wp:posOffset>1448435</wp:posOffset>
            </wp:positionV>
            <wp:extent cx="2033270" cy="1759585"/>
            <wp:effectExtent l="0" t="0" r="5080" b="0"/>
            <wp:wrapTight wrapText="bothSides">
              <wp:wrapPolygon edited="0">
                <wp:start x="0" y="0"/>
                <wp:lineTo x="0" y="21280"/>
                <wp:lineTo x="21452" y="21280"/>
                <wp:lineTo x="21452" y="0"/>
                <wp:lineTo x="0" y="0"/>
              </wp:wrapPolygon>
            </wp:wrapTight>
            <wp:docPr id="1" name="Рисунок 1" descr="http://kamenskie-r.ru/images/photos/medium/articl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enskie-r.ru/images/photos/medium/article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93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 w:type="page"/>
      </w:r>
    </w:p>
    <w:p w:rsidR="00775406" w:rsidRPr="002714D8" w:rsidRDefault="00775406" w:rsidP="002714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sectPr w:rsidR="00775406" w:rsidRPr="002714D8" w:rsidSect="00C91F0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1E"/>
    <w:multiLevelType w:val="multilevel"/>
    <w:tmpl w:val="95BE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3727"/>
    <w:multiLevelType w:val="hybridMultilevel"/>
    <w:tmpl w:val="0630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196"/>
    <w:multiLevelType w:val="multilevel"/>
    <w:tmpl w:val="11F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C18C2"/>
    <w:multiLevelType w:val="multilevel"/>
    <w:tmpl w:val="1EA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E0889"/>
    <w:multiLevelType w:val="multilevel"/>
    <w:tmpl w:val="4FB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21EEC"/>
    <w:multiLevelType w:val="multilevel"/>
    <w:tmpl w:val="0FF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A0E5C"/>
    <w:multiLevelType w:val="multilevel"/>
    <w:tmpl w:val="FFFC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2004B"/>
    <w:multiLevelType w:val="multilevel"/>
    <w:tmpl w:val="CED8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13A06"/>
    <w:multiLevelType w:val="multilevel"/>
    <w:tmpl w:val="853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6741C"/>
    <w:multiLevelType w:val="multilevel"/>
    <w:tmpl w:val="620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95CBF"/>
    <w:multiLevelType w:val="multilevel"/>
    <w:tmpl w:val="B5E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C1869"/>
    <w:multiLevelType w:val="multilevel"/>
    <w:tmpl w:val="4362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2105C"/>
    <w:multiLevelType w:val="multilevel"/>
    <w:tmpl w:val="A78C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42465"/>
    <w:multiLevelType w:val="multilevel"/>
    <w:tmpl w:val="F88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75"/>
    <w:rsid w:val="000B642C"/>
    <w:rsid w:val="000C798A"/>
    <w:rsid w:val="000F123B"/>
    <w:rsid w:val="001009F6"/>
    <w:rsid w:val="0019348D"/>
    <w:rsid w:val="00222BF8"/>
    <w:rsid w:val="00233B3E"/>
    <w:rsid w:val="00266B23"/>
    <w:rsid w:val="002714D8"/>
    <w:rsid w:val="00274D78"/>
    <w:rsid w:val="002A0FBC"/>
    <w:rsid w:val="00307DEE"/>
    <w:rsid w:val="003746DA"/>
    <w:rsid w:val="00393D60"/>
    <w:rsid w:val="003B7B04"/>
    <w:rsid w:val="003F2B22"/>
    <w:rsid w:val="00446C09"/>
    <w:rsid w:val="004500CD"/>
    <w:rsid w:val="004535C7"/>
    <w:rsid w:val="005B0AD6"/>
    <w:rsid w:val="005E0406"/>
    <w:rsid w:val="006421AE"/>
    <w:rsid w:val="006473DD"/>
    <w:rsid w:val="00657AE2"/>
    <w:rsid w:val="0068056A"/>
    <w:rsid w:val="00695879"/>
    <w:rsid w:val="00775406"/>
    <w:rsid w:val="007C3937"/>
    <w:rsid w:val="007F01E0"/>
    <w:rsid w:val="00861206"/>
    <w:rsid w:val="00862228"/>
    <w:rsid w:val="00895D6A"/>
    <w:rsid w:val="00906EF4"/>
    <w:rsid w:val="009708D3"/>
    <w:rsid w:val="00977E81"/>
    <w:rsid w:val="009F0381"/>
    <w:rsid w:val="00A27B51"/>
    <w:rsid w:val="00A65936"/>
    <w:rsid w:val="00A951FF"/>
    <w:rsid w:val="00AB3965"/>
    <w:rsid w:val="00AB6A02"/>
    <w:rsid w:val="00AC393A"/>
    <w:rsid w:val="00BE5540"/>
    <w:rsid w:val="00C91F07"/>
    <w:rsid w:val="00D70576"/>
    <w:rsid w:val="00DC594C"/>
    <w:rsid w:val="00DE4D2A"/>
    <w:rsid w:val="00DE5F45"/>
    <w:rsid w:val="00E35A55"/>
    <w:rsid w:val="00E46075"/>
    <w:rsid w:val="00F36A3F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BF8"/>
    <w:pPr>
      <w:ind w:left="720"/>
      <w:contextualSpacing/>
    </w:pPr>
  </w:style>
  <w:style w:type="character" w:styleId="a6">
    <w:name w:val="Strong"/>
    <w:basedOn w:val="a0"/>
    <w:uiPriority w:val="22"/>
    <w:qFormat/>
    <w:rsid w:val="00307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BF8"/>
    <w:pPr>
      <w:ind w:left="720"/>
      <w:contextualSpacing/>
    </w:pPr>
  </w:style>
  <w:style w:type="character" w:styleId="a6">
    <w:name w:val="Strong"/>
    <w:basedOn w:val="a0"/>
    <w:uiPriority w:val="22"/>
    <w:qFormat/>
    <w:rsid w:val="00307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010903</dc:creator>
  <cp:keywords/>
  <dc:description/>
  <cp:lastModifiedBy>Светлана Ивановна Непомнящих</cp:lastModifiedBy>
  <cp:revision>40</cp:revision>
  <cp:lastPrinted>2016-07-08T03:07:00Z</cp:lastPrinted>
  <dcterms:created xsi:type="dcterms:W3CDTF">2016-07-07T03:44:00Z</dcterms:created>
  <dcterms:modified xsi:type="dcterms:W3CDTF">2016-07-08T05:41:00Z</dcterms:modified>
</cp:coreProperties>
</file>