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1E2C62" w:rsidRDefault="006E7E69">
      <w:pPr>
        <w:pStyle w:val="11"/>
        <w:spacing w:after="280" w:line="259" w:lineRule="auto"/>
        <w:ind w:firstLine="0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</w:t>
      </w:r>
      <w:r w:rsidR="00D8611A">
        <w:rPr>
          <w:b/>
          <w:bCs/>
        </w:rPr>
        <w:t xml:space="preserve"> </w:t>
      </w:r>
      <w:r w:rsidR="00D8611A" w:rsidRPr="00D8611A">
        <w:rPr>
          <w:b/>
          <w:bCs/>
        </w:rPr>
        <w:t>решени</w:t>
      </w:r>
      <w:r w:rsidR="00D8611A">
        <w:rPr>
          <w:b/>
          <w:bCs/>
        </w:rPr>
        <w:t>я</w:t>
      </w:r>
      <w:bookmarkStart w:id="6" w:name="_GoBack"/>
      <w:bookmarkEnd w:id="6"/>
      <w:r w:rsidR="00D8611A" w:rsidRPr="00D8611A">
        <w:rPr>
          <w:b/>
          <w:bCs/>
        </w:rPr>
        <w:t xml:space="preserve"> Думы Кондинского района от 11 ноября 2020 года № 716 «Об утверждении местных нормативов градостроительного проектирования сельского поселения Половинка Кондинского района Ханты-Мансийского автономного округа – Югры»</w:t>
      </w:r>
    </w:p>
    <w:p w:rsidR="001E2C62" w:rsidRDefault="006E7E69">
      <w:pPr>
        <w:pStyle w:val="11"/>
        <w:ind w:firstLine="760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6E7E69" w:rsidP="00A60F9C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утратившими силу</w:t>
      </w:r>
      <w:bookmarkStart w:id="8" w:name="bookmark7"/>
      <w:bookmarkEnd w:id="8"/>
      <w:r w:rsidR="00131742">
        <w:t xml:space="preserve"> р</w:t>
      </w:r>
      <w:r>
        <w:t xml:space="preserve">ешение Думы Кондинского района от </w:t>
      </w:r>
      <w:r w:rsidR="00131742">
        <w:t xml:space="preserve">11 ноября 2020 </w:t>
      </w:r>
      <w:r>
        <w:t xml:space="preserve">года № </w:t>
      </w:r>
      <w:r w:rsidR="00131742">
        <w:t>7</w:t>
      </w:r>
      <w:r w:rsidR="00A60F9C">
        <w:t>1</w:t>
      </w:r>
      <w:r w:rsidR="007C141A">
        <w:t>6</w:t>
      </w:r>
      <w:r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</w:t>
      </w:r>
      <w:r w:rsidR="001220D7">
        <w:t>сель</w:t>
      </w:r>
      <w:r w:rsidR="00A60F9C" w:rsidRPr="00A60F9C">
        <w:t xml:space="preserve">ского поселения </w:t>
      </w:r>
      <w:r w:rsidR="007C141A">
        <w:t>Половинка</w:t>
      </w:r>
      <w:r w:rsidR="00A60F9C">
        <w:t xml:space="preserve"> </w:t>
      </w:r>
      <w:r w:rsidR="00131742">
        <w:t xml:space="preserve">Кондинского района Ханты-Мансийского автономного округа </w:t>
      </w:r>
      <w:r w:rsidR="00A22FD4">
        <w:t>–</w:t>
      </w:r>
      <w:r w:rsidR="00131742">
        <w:t xml:space="preserve"> Югры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220D7"/>
    <w:rsid w:val="00131742"/>
    <w:rsid w:val="001E2C62"/>
    <w:rsid w:val="004A3832"/>
    <w:rsid w:val="004E3FE8"/>
    <w:rsid w:val="005F0690"/>
    <w:rsid w:val="006E7E69"/>
    <w:rsid w:val="007C141A"/>
    <w:rsid w:val="00A22FD4"/>
    <w:rsid w:val="00A60F9C"/>
    <w:rsid w:val="00B015DB"/>
    <w:rsid w:val="00D8611A"/>
    <w:rsid w:val="00FB12E9"/>
    <w:rsid w:val="00F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3</cp:revision>
  <dcterms:created xsi:type="dcterms:W3CDTF">2023-02-08T12:15:00Z</dcterms:created>
  <dcterms:modified xsi:type="dcterms:W3CDTF">2023-02-16T11:23:00Z</dcterms:modified>
</cp:coreProperties>
</file>