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4314D7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4314D7">
              <w:t>83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4314D7">
              <w:t>Болчары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FC7D2A">
        <w:rPr>
          <w:color w:val="000000"/>
          <w:spacing w:val="-1"/>
        </w:rPr>
        <w:t>03 мая 2024</w:t>
      </w:r>
      <w:r w:rsidRPr="0018671F">
        <w:rPr>
          <w:color w:val="000000"/>
          <w:spacing w:val="-1"/>
        </w:rPr>
        <w:t xml:space="preserve"> года № </w:t>
      </w:r>
      <w:r w:rsidR="00FC7D2A">
        <w:rPr>
          <w:color w:val="000000"/>
          <w:spacing w:val="-1"/>
        </w:rPr>
        <w:t>10</w:t>
      </w:r>
      <w:r w:rsidRPr="0018671F">
        <w:rPr>
          <w:color w:val="000000"/>
          <w:spacing w:val="-1"/>
        </w:rPr>
        <w:t xml:space="preserve"> </w:t>
      </w:r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4314D7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4314D7">
        <w:rPr>
          <w:color w:val="000000"/>
          <w:spacing w:val="-1"/>
        </w:rPr>
        <w:t>83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4314D7">
        <w:rPr>
          <w:color w:val="000000"/>
          <w:spacing w:val="-1"/>
        </w:rPr>
        <w:t>Болчары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A5FF0" w:rsidRPr="00AA5FF0" w:rsidRDefault="00AA5FF0" w:rsidP="00AA5FF0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AA5FF0">
        <w:rPr>
          <w:color w:val="000000"/>
          <w:spacing w:val="-1"/>
        </w:rPr>
        <w:t xml:space="preserve">   Дополнить пунктом 6 следующего содержания: </w:t>
      </w:r>
    </w:p>
    <w:p w:rsidR="00AA5FF0" w:rsidRPr="00AA5FF0" w:rsidRDefault="00AA5FF0" w:rsidP="00AA5FF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AA5FF0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AA5FF0">
        <w:rPr>
          <w:color w:val="000000"/>
          <w:spacing w:val="-1"/>
        </w:rPr>
        <w:t>.»</w:t>
      </w:r>
      <w:proofErr w:type="gramEnd"/>
    </w:p>
    <w:p w:rsidR="00AA5FF0" w:rsidRDefault="00AA5FF0" w:rsidP="00AA5FF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Pr="00AA5FF0">
        <w:rPr>
          <w:color w:val="000000"/>
          <w:spacing w:val="-1"/>
        </w:rPr>
        <w:t>В приложении к постановлению:</w:t>
      </w:r>
      <w:r w:rsidR="003A0A56" w:rsidRPr="00AA5FF0">
        <w:rPr>
          <w:color w:val="000000"/>
          <w:spacing w:val="-1"/>
        </w:rPr>
        <w:t xml:space="preserve"> </w:t>
      </w:r>
    </w:p>
    <w:p w:rsidR="00751FA1" w:rsidRPr="00AA5FF0" w:rsidRDefault="00AA5FF0" w:rsidP="00AA5FF0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751FA1" w:rsidRPr="00AA5FF0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3A0A56">
      <w:pPr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«2. Основаниями для рассмотрения</w:t>
      </w:r>
      <w:r w:rsidR="007A1442" w:rsidRPr="007A1442">
        <w:t xml:space="preserve"> </w:t>
      </w:r>
      <w:r w:rsidR="007A1442" w:rsidRPr="007A1442">
        <w:rPr>
          <w:color w:val="000000"/>
          <w:spacing w:val="-1"/>
        </w:rPr>
        <w:t xml:space="preserve">главой </w:t>
      </w:r>
      <w:r w:rsidR="003A0A56">
        <w:rPr>
          <w:color w:val="000000"/>
          <w:spacing w:val="-1"/>
        </w:rPr>
        <w:t>Кондинского района</w:t>
      </w:r>
      <w:r w:rsidRPr="00751FA1">
        <w:rPr>
          <w:color w:val="000000"/>
          <w:spacing w:val="-1"/>
        </w:rPr>
        <w:t xml:space="preserve"> 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захоронений погибших при защите Отечества, расположенных в </w:t>
      </w:r>
      <w:r w:rsidRPr="00F14DBE">
        <w:rPr>
          <w:color w:val="000000"/>
          <w:spacing w:val="-1"/>
        </w:rPr>
        <w:t>границах муниципальных образований</w:t>
      </w:r>
      <w:proofErr w:type="gramStart"/>
      <w:r w:rsidRPr="00F14DBE">
        <w:rPr>
          <w:color w:val="000000"/>
          <w:spacing w:val="-1"/>
        </w:rPr>
        <w:t>.».</w:t>
      </w:r>
      <w:proofErr w:type="gramEnd"/>
    </w:p>
    <w:p w:rsidR="003A0A56" w:rsidRPr="003A0A56" w:rsidRDefault="003A0A56" w:rsidP="003A0A56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AA5FF0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. </w:t>
      </w:r>
      <w:r w:rsidRPr="003A0A56">
        <w:rPr>
          <w:color w:val="000000"/>
          <w:spacing w:val="-1"/>
        </w:rPr>
        <w:t xml:space="preserve">Абзац </w:t>
      </w:r>
      <w:r>
        <w:rPr>
          <w:color w:val="000000"/>
          <w:spacing w:val="-1"/>
        </w:rPr>
        <w:t>седьмо</w:t>
      </w:r>
      <w:r w:rsidRPr="003A0A56">
        <w:rPr>
          <w:color w:val="000000"/>
          <w:spacing w:val="-1"/>
        </w:rPr>
        <w:t>й пункта 3 статьи 8 главы 3 раздела I изложить в следующей редакции:</w:t>
      </w:r>
      <w:r>
        <w:rPr>
          <w:color w:val="000000"/>
          <w:spacing w:val="-1"/>
        </w:rPr>
        <w:t xml:space="preserve"> «</w:t>
      </w:r>
      <w:r w:rsidRPr="003A0A56">
        <w:rPr>
          <w:color w:val="000000"/>
          <w:spacing w:val="-1"/>
        </w:rPr>
        <w:t>уполномоченны</w:t>
      </w:r>
      <w:r>
        <w:rPr>
          <w:color w:val="000000"/>
          <w:spacing w:val="-1"/>
        </w:rPr>
        <w:t>й</w:t>
      </w:r>
      <w:r w:rsidRPr="003A0A56">
        <w:rPr>
          <w:color w:val="000000"/>
          <w:spacing w:val="-1"/>
        </w:rPr>
        <w:t xml:space="preserve"> федеральны</w:t>
      </w:r>
      <w:r>
        <w:rPr>
          <w:color w:val="000000"/>
          <w:spacing w:val="-1"/>
        </w:rPr>
        <w:t>й</w:t>
      </w:r>
      <w:r w:rsidRPr="003A0A56">
        <w:rPr>
          <w:color w:val="000000"/>
          <w:spacing w:val="-1"/>
        </w:rPr>
        <w:t xml:space="preserve"> орган исполнительной власти,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>
        <w:rPr>
          <w:color w:val="000000"/>
          <w:spacing w:val="-1"/>
        </w:rPr>
        <w:t>;»</w:t>
      </w:r>
      <w:proofErr w:type="gramEnd"/>
      <w:r>
        <w:rPr>
          <w:color w:val="000000"/>
          <w:spacing w:val="-1"/>
        </w:rPr>
        <w:t>.</w:t>
      </w:r>
    </w:p>
    <w:p w:rsidR="00374191" w:rsidRPr="00F14DBE" w:rsidRDefault="00374191" w:rsidP="00F14DBE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>1.</w:t>
      </w:r>
      <w:r w:rsidR="00AA5FF0">
        <w:rPr>
          <w:color w:val="000000"/>
          <w:spacing w:val="-1"/>
        </w:rPr>
        <w:t>4</w:t>
      </w:r>
      <w:r w:rsidRPr="00F14DBE">
        <w:rPr>
          <w:color w:val="000000"/>
          <w:spacing w:val="-1"/>
        </w:rPr>
        <w:t xml:space="preserve">. </w:t>
      </w:r>
      <w:proofErr w:type="gramStart"/>
      <w:r w:rsidRPr="00F14DBE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Pr="00F14DBE">
        <w:rPr>
          <w:color w:val="000000"/>
          <w:spacing w:val="-1"/>
        </w:rPr>
        <w:t xml:space="preserve"> территории по инициативе правообладателей</w:t>
      </w:r>
      <w:proofErr w:type="gramStart"/>
      <w:r w:rsidR="003A0A56">
        <w:rPr>
          <w:color w:val="000000"/>
          <w:spacing w:val="-1"/>
        </w:rPr>
        <w:t>;</w:t>
      </w:r>
      <w:r w:rsidRPr="00F14DBE">
        <w:rPr>
          <w:color w:val="000000"/>
          <w:spacing w:val="-1"/>
        </w:rPr>
        <w:t>»</w:t>
      </w:r>
      <w:proofErr w:type="gramEnd"/>
      <w:r w:rsidRPr="00F14DBE">
        <w:rPr>
          <w:color w:val="000000"/>
          <w:spacing w:val="-1"/>
        </w:rPr>
        <w:t>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>1.</w:t>
      </w:r>
      <w:r w:rsidR="00AA5FF0">
        <w:rPr>
          <w:color w:val="000000"/>
          <w:spacing w:val="-1"/>
        </w:rPr>
        <w:t>5</w:t>
      </w:r>
      <w:r w:rsidRPr="00F14DBE">
        <w:rPr>
          <w:color w:val="000000"/>
          <w:spacing w:val="-1"/>
        </w:rPr>
        <w:t xml:space="preserve">. </w:t>
      </w:r>
      <w:r w:rsidR="00D32D13" w:rsidRPr="00F14DBE">
        <w:rPr>
          <w:color w:val="000000"/>
          <w:spacing w:val="-1"/>
        </w:rPr>
        <w:t xml:space="preserve">В </w:t>
      </w:r>
      <w:r w:rsidR="001D5694" w:rsidRPr="00F14DBE">
        <w:rPr>
          <w:color w:val="000000"/>
          <w:spacing w:val="-1"/>
        </w:rPr>
        <w:t>части</w:t>
      </w:r>
      <w:r w:rsidR="00AD7F26" w:rsidRPr="00F14DBE">
        <w:rPr>
          <w:color w:val="000000"/>
          <w:spacing w:val="-1"/>
        </w:rPr>
        <w:t xml:space="preserve"> 6</w:t>
      </w:r>
      <w:r w:rsidR="00D32D13" w:rsidRPr="00F14DBE">
        <w:rPr>
          <w:color w:val="000000"/>
          <w:spacing w:val="-1"/>
        </w:rPr>
        <w:t xml:space="preserve"> статьи </w:t>
      </w:r>
      <w:r w:rsidR="00AD7F26" w:rsidRPr="00F14DBE">
        <w:rPr>
          <w:color w:val="000000"/>
          <w:spacing w:val="-1"/>
        </w:rPr>
        <w:t>16</w:t>
      </w:r>
      <w:r w:rsidR="00D32D13" w:rsidRPr="00F14DBE">
        <w:rPr>
          <w:color w:val="000000"/>
          <w:spacing w:val="-1"/>
        </w:rPr>
        <w:t xml:space="preserve"> главы </w:t>
      </w:r>
      <w:r w:rsidR="00AD7F26" w:rsidRPr="00F14DBE">
        <w:rPr>
          <w:color w:val="000000"/>
          <w:spacing w:val="-1"/>
        </w:rPr>
        <w:t>4</w:t>
      </w:r>
      <w:r w:rsidR="00D32D13" w:rsidRPr="00F14DBE">
        <w:rPr>
          <w:color w:val="000000"/>
          <w:spacing w:val="-1"/>
        </w:rPr>
        <w:t xml:space="preserve"> раздела I слова</w:t>
      </w:r>
      <w:r w:rsidR="00D32D13" w:rsidRPr="00D32D13">
        <w:rPr>
          <w:color w:val="000000"/>
          <w:spacing w:val="-1"/>
        </w:rPr>
        <w:t xml:space="preserve">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AA5FF0">
        <w:rPr>
          <w:color w:val="000000"/>
          <w:spacing w:val="-1"/>
        </w:rPr>
        <w:t>6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AA5FF0">
        <w:rPr>
          <w:color w:val="000000"/>
          <w:spacing w:val="-1"/>
        </w:rPr>
        <w:t>7</w:t>
      </w:r>
      <w:r>
        <w:rPr>
          <w:color w:val="000000"/>
          <w:spacing w:val="-1"/>
        </w:rPr>
        <w:t xml:space="preserve">. </w:t>
      </w:r>
      <w:proofErr w:type="gramStart"/>
      <w:r w:rsidR="00090716" w:rsidRPr="00090716">
        <w:rPr>
          <w:color w:val="000000"/>
          <w:spacing w:val="-1"/>
        </w:rPr>
        <w:t>В разделе III слова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 xml:space="preserve">» </w:t>
      </w:r>
      <w:r w:rsidR="00751FA1">
        <w:rPr>
          <w:color w:val="000000"/>
          <w:spacing w:val="-1"/>
        </w:rPr>
        <w:lastRenderedPageBreak/>
        <w:t>слова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 </w:t>
      </w:r>
      <w:r w:rsidR="004F273E">
        <w:rPr>
          <w:color w:val="000000"/>
          <w:spacing w:val="-1"/>
        </w:rPr>
        <w:t>слова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 слова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 слова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</w:t>
      </w:r>
      <w:proofErr w:type="gramEnd"/>
      <w:r w:rsidR="004F273E">
        <w:rPr>
          <w:color w:val="000000"/>
          <w:spacing w:val="-1"/>
        </w:rPr>
        <w:t xml:space="preserve">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5577B9">
        <w:rPr>
          <w:color w:val="000000"/>
          <w:spacing w:val="-1"/>
        </w:rPr>
        <w:t>;</w:t>
      </w:r>
    </w:p>
    <w:p w:rsidR="00A10125" w:rsidRPr="003574FC" w:rsidRDefault="00C16DD2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574FC">
        <w:rPr>
          <w:spacing w:val="-1"/>
        </w:rPr>
        <w:t>1.</w:t>
      </w:r>
      <w:r w:rsidR="00DF182F">
        <w:rPr>
          <w:spacing w:val="-1"/>
        </w:rPr>
        <w:t>8</w:t>
      </w:r>
      <w:r w:rsidRPr="003574FC">
        <w:rPr>
          <w:spacing w:val="-1"/>
        </w:rPr>
        <w:t>. Карту градостроительного зонирования изложить в новой редакции (приложение).</w:t>
      </w:r>
    </w:p>
    <w:p w:rsidR="00C85E20" w:rsidRPr="00C85E20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2. Постановление опубликовать в газете «</w:t>
      </w:r>
      <w:proofErr w:type="spellStart"/>
      <w:r w:rsidRPr="00C85E20">
        <w:rPr>
          <w:color w:val="000000"/>
          <w:spacing w:val="-1"/>
        </w:rPr>
        <w:t>Кондинский</w:t>
      </w:r>
      <w:proofErr w:type="spellEnd"/>
      <w:r w:rsidRPr="00C85E20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3. Постановление вступает в силу после его официального опубликования</w:t>
      </w:r>
      <w:r w:rsidR="00162818" w:rsidRPr="00BF1C0C">
        <w:rPr>
          <w:color w:val="000000"/>
          <w:spacing w:val="-1"/>
        </w:rPr>
        <w:t>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280A58">
            <w:pPr>
              <w:jc w:val="right"/>
            </w:pPr>
            <w:r w:rsidRPr="00BF1C0C">
              <w:t xml:space="preserve">А. </w:t>
            </w:r>
            <w:r w:rsidR="00280A58">
              <w:t xml:space="preserve">В. </w:t>
            </w:r>
            <w:proofErr w:type="spellStart"/>
            <w:r w:rsidR="00280A58">
              <w:t>Зяблицев</w:t>
            </w:r>
            <w:bookmarkStart w:id="0" w:name="_GoBack"/>
            <w:bookmarkEnd w:id="0"/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DF182F" w:rsidRDefault="00DF182F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Pr="003574FC" w:rsidRDefault="00B13E39" w:rsidP="003574FC">
      <w:pPr>
        <w:tabs>
          <w:tab w:val="left" w:pos="4962"/>
        </w:tabs>
        <w:ind w:left="4962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299085</wp:posOffset>
            </wp:positionV>
            <wp:extent cx="6686550" cy="8165788"/>
            <wp:effectExtent l="0" t="0" r="0" b="6985"/>
            <wp:wrapNone/>
            <wp:docPr id="2" name="Рисунок 2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6.  Болчары\изменения 2024 март\jpeg\Карта градостроительного зонирования 2024 ма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503" cy="81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CD">
        <w:t xml:space="preserve">от                      № </w:t>
      </w:r>
    </w:p>
    <w:sectPr w:rsidR="00BC22CD" w:rsidRPr="003574F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284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0A58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812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A56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60F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5FF0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5E20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4D0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82F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A98"/>
    <w:rsid w:val="00F27BAC"/>
    <w:rsid w:val="00F3039E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D0BB-4905-472C-BD1B-AAFFE3E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843</Words>
  <Characters>6611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16</cp:revision>
  <cp:lastPrinted>2024-08-01T06:54:00Z</cp:lastPrinted>
  <dcterms:created xsi:type="dcterms:W3CDTF">2024-03-22T06:47:00Z</dcterms:created>
  <dcterms:modified xsi:type="dcterms:W3CDTF">2024-08-01T06:54:00Z</dcterms:modified>
</cp:coreProperties>
</file>