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4956"/>
        <w:rPr>
          <w:b/>
        </w:rPr>
      </w:pPr>
      <w:r>
        <w:rPr>
          <w:b/>
        </w:rPr>
        <w:t xml:space="preserve">ПРОЕКТ</w:t>
      </w:r>
      <w:r>
        <w:rPr>
          <w:b/>
        </w:rPr>
      </w:r>
    </w:p>
    <w:p>
      <w:pPr>
        <w:pStyle w:val="Normal"/>
        <w:ind w:left="4956"/>
      </w:pPr>
      <w:r>
        <w:t xml:space="preserve">субъект правотворческой </w:t>
      </w:r>
    </w:p>
    <w:p>
      <w:pPr>
        <w:pStyle w:val="Normal"/>
        <w:ind w:left="4956"/>
      </w:pPr>
      <w:r>
        <w:t xml:space="preserve">инициативы глава Кондинского района</w:t>
      </w:r>
    </w:p>
    <w:p>
      <w:pPr>
        <w:pStyle w:val="Normal"/>
        <w:ind w:left="4956"/>
      </w:pPr>
    </w:p>
    <w:p>
      <w:pPr>
        <w:pStyle w:val="Normal"/>
        <w:ind w:left="4956"/>
      </w:pPr>
      <w:r>
        <w:t xml:space="preserve">разработчик проекта </w:t>
      </w:r>
    </w:p>
    <w:p>
      <w:pPr>
        <w:pStyle w:val="Normal"/>
        <w:ind w:left="4956"/>
      </w:pPr>
      <w:r>
        <w:t xml:space="preserve">Комитет по управлению</w:t>
      </w:r>
    </w:p>
    <w:p>
      <w:pPr>
        <w:pStyle w:val="Normal"/>
        <w:ind w:left="4956"/>
      </w:pPr>
      <w:r>
        <w:t xml:space="preserve">муниципальным имуществом </w:t>
      </w:r>
    </w:p>
    <w:p>
      <w:pPr>
        <w:pStyle w:val="Normal"/>
        <w:ind w:left="4956"/>
      </w:pPr>
      <w:r>
        <w:t xml:space="preserve">администрации Кондинского района </w:t>
      </w:r>
    </w:p>
    <w:p>
      <w:pPr>
        <w:pStyle w:val="Normal"/>
        <w:ind w:firstLine="63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0" w:lineRule="atLeast"/>
        <w:jc w:val="center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ХАНТЫ-МАНСИЙСКИЙ АВТОНОМНЫЙ ОКРУГ – ЮГРА</w:t>
      </w:r>
    </w:p>
    <w:p>
      <w:pPr>
        <w:pStyle w:val="Normal"/>
        <w:jc w:val="center"/>
        <w:rPr>
          <w:b/>
        </w:rPr>
      </w:pPr>
      <w:r>
        <w:rPr>
          <w:b/>
          <w:bCs/>
        </w:rPr>
        <w:t xml:space="preserve">ДУМА </w:t>
      </w:r>
      <w:r>
        <w:rPr>
          <w:b/>
        </w:rPr>
        <w:t xml:space="preserve">КОНДИНСКОГО РАЙОНА</w:t>
      </w:r>
    </w:p>
    <w:p>
      <w:pPr>
        <w:pStyle w:val="Heading2"/>
        <w:rPr>
          <w:szCs w:val="28"/>
        </w:rPr>
      </w:pPr>
      <w:r>
        <w:rPr>
          <w:szCs w:val="28"/>
        </w:rPr>
      </w:r>
    </w:p>
    <w:p>
      <w:pPr>
        <w:pStyle w:val="Heading2"/>
        <w:rPr>
          <w:sz w:val="24"/>
        </w:rPr>
      </w:pPr>
      <w:r>
        <w:rPr>
          <w:sz w:val="24"/>
        </w:rPr>
        <w:t xml:space="preserve">РЕШЕНИЕ</w:t>
      </w:r>
      <w:r>
        <w:rPr>
          <w:sz w:val="24"/>
        </w:rPr>
      </w:r>
    </w:p>
    <w:p>
      <w:pPr>
        <w:pStyle w:val="Normal"/>
      </w:pPr>
    </w:p>
    <w:p>
      <w:pPr>
        <w:pStyle w:val="Normal"/>
      </w:pP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</w:t>
      </w:r>
      <w:r>
        <w:rPr>
          <w:b/>
          <w:sz w:val="26"/>
          <w:szCs w:val="26"/>
        </w:rPr>
        <w:t xml:space="preserve">й</w:t>
      </w:r>
      <w:r>
        <w:rPr>
          <w:b/>
          <w:sz w:val="26"/>
          <w:szCs w:val="26"/>
        </w:rPr>
        <w:t xml:space="preserve"> в решение Думы Кондинского района от </w:t>
      </w:r>
      <w:r>
        <w:rPr>
          <w:b/>
          <w:sz w:val="26"/>
          <w:szCs w:val="26"/>
        </w:rPr>
        <w:t xml:space="preserve">28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января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 xml:space="preserve">52</w:t>
      </w: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«О</w:t>
      </w:r>
      <w:r>
        <w:rPr>
          <w:b/>
          <w:sz w:val="26"/>
          <w:szCs w:val="26"/>
        </w:rPr>
        <w:t xml:space="preserve"> Порядке управления и распоряжения муниципальным имуществом Кондинского района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стать</w:t>
      </w:r>
      <w:r>
        <w:rPr>
          <w:rFonts w:ascii="Times New Roman" w:hAnsi="Times New Roman" w:cs="Times New Roman"/>
          <w:sz w:val="26"/>
          <w:szCs w:val="26"/>
        </w:rPr>
        <w:t xml:space="preserve">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,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</w:t>
      </w:r>
      <w:r>
        <w:rPr>
          <w:rFonts w:ascii="Times New Roman" w:hAnsi="Times New Roman" w:cs="Times New Roman"/>
          <w:sz w:val="26"/>
          <w:szCs w:val="26"/>
        </w:rPr>
        <w:t xml:space="preserve">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 xml:space="preserve">94</w:t>
      </w:r>
      <w:r>
        <w:rPr>
          <w:rFonts w:ascii="Times New Roman" w:hAnsi="Times New Roman" w:cs="Times New Roman"/>
          <w:sz w:val="26"/>
          <w:szCs w:val="26"/>
        </w:rPr>
        <w:t xml:space="preserve">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отдельные законодательные акты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Дума Кондинского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решила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  <w:tab/>
        <w:t xml:space="preserve">Внести в решени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Думы Кондинского района от </w:t>
      </w:r>
      <w:r>
        <w:rPr>
          <w:sz w:val="26"/>
          <w:szCs w:val="26"/>
        </w:rPr>
        <w:t xml:space="preserve">28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</w:t>
      </w:r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52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Порядке управления и распоряжения муниципальным имуществом Кондинского района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(далее–решение) следующ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 изменени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статью 8 главы 3 приложения к решению дополнить пунктом 14 следующего </w:t>
      </w:r>
      <w:r>
        <w:rPr>
          <w:sz w:val="26"/>
          <w:szCs w:val="26"/>
        </w:rPr>
        <w:t xml:space="preserve">содержания: </w:t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UserStyle_10"/>
        <w:ind w:firstLine="540"/>
        <w:jc w:val="both"/>
      </w:pPr>
      <w:r>
        <w:t xml:space="preserve">"1</w:t>
      </w:r>
      <w:r>
        <w:t xml:space="preserve">4</w:t>
      </w:r>
      <w:r>
        <w:t xml:space="preserve">. </w:t>
      </w:r>
      <w:r>
        <w:t xml:space="preserve">Отчуждение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муниципальным унитарным предприятием, производится в соответствии со статьей 19.1 Федерального закона от 14 ноября 2002 года N 161-ФЗ "О государственных и муниципальных унитарных предприятиях".</w:t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главу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приложения к решению дополнить статьей 23.1 </w:t>
      </w:r>
      <w:r>
        <w:rPr>
          <w:sz w:val="26"/>
          <w:szCs w:val="26"/>
        </w:rPr>
        <w:t xml:space="preserve">следующего содержания: </w:t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UserStyle_10"/>
        <w:ind w:firstLine="540"/>
        <w:jc w:val="both"/>
      </w:pPr>
      <w:r>
        <w:t xml:space="preserve">"Статья 2</w:t>
      </w:r>
      <w:r>
        <w:t xml:space="preserve">3.1</w:t>
      </w:r>
      <w:r>
        <w:t xml:space="preserve">.</w:t>
      </w:r>
      <w:r>
        <w:t xml:space="preserve"> </w:t>
      </w:r>
      <w:r>
        <w:t xml:space="preserve">Особенности порядка заключения договоров в отношении источников тепловой энергии, тепловых сетей, централизованных систем горячего водоснабжения, холодного водоснабжения и (или)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муниципального образования превышает пятьдесят процентов, либо их дочерним хозяйственным обществам, в уставном капитале которых им принадлежит более пятидесяти процентов.</w:t>
      </w:r>
    </w:p>
    <w:p>
      <w:pPr>
        <w:pStyle w:val="UserStyle_1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UserStyle_10"/>
        <w:ind w:firstLine="540"/>
        <w:jc w:val="both"/>
      </w:pPr>
      <w:r>
        <w:t xml:space="preserve">1. </w:t>
      </w:r>
      <w:r>
        <w:t xml:space="preserve">Порядок заключения договоров в отношении источников тепловой энергии, тепловых сетей, централизованных систем горячего водоснабжения, холодного водоснабжения и (</w:t>
      </w:r>
      <w:r>
        <w:t xml:space="preserve">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муниципального образования превышает пятьдесят процентов, либо их дочерним хозяйственным обществам, в уставном капитале которых им принадлежит более пятидесяти процентов устанавливается в соответствии </w:t>
      </w:r>
      <w:r>
        <w:t xml:space="preserve">со статьей 17.2 </w:t>
      </w:r>
      <w:r>
        <w:t xml:space="preserve">Федерального </w:t>
      </w:r>
      <w:r>
        <w:fldChar w:fldCharType="begin"/>
      </w:r>
      <w:r>
        <w:instrText xml:space="preserve">HYPERLINK https://login.consultant.ru/link/?req=doc&amp;base=LAW&amp;n=480803&amp;date=06.11.2024 \o "Федеральный закон от 26.07.2006 N 135-ФЗ (ред. от 08.08.2024) \"О защите конкуренции\"</w:instrText>
      </w:r>
      <w:r>
        <w:br w:type="textWrapping" w:clear="all"/>
        <w:instrText xml:space="preserve">{КонсультантПлюс}"</w:instrText>
      </w:r>
      <w:r>
        <w:fldChar w:fldCharType="separate"/>
      </w:r>
      <w:r>
        <w:t xml:space="preserve">закон</w:t>
      </w:r>
      <w:r>
        <w:fldChar w:fldCharType="end"/>
      </w:r>
      <w:r>
        <w:t xml:space="preserve">а от</w:t>
      </w:r>
      <w:r>
        <w:t xml:space="preserve"> 26 июля 2006 года N 135-ФЗ "О защите конкуренции".</w:t>
      </w:r>
    </w:p>
    <w:p>
      <w:pPr>
        <w:pStyle w:val="Normal"/>
        <w:tabs>
          <w:tab w:val="left" w:pos="113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>
        <w:rPr>
          <w:sz w:val="26"/>
          <w:szCs w:val="26"/>
        </w:rPr>
        <w:t xml:space="preserve">Обнародовать настоящее решение </w:t>
      </w:r>
      <w:r>
        <w:rPr>
          <w:sz w:val="26"/>
          <w:szCs w:val="26"/>
          <w:shd w:val="clear" w:color="auto" w:fill="ffffff"/>
          <w:lang w:val="en-US"/>
        </w:rPr>
        <w:t xml:space="preserve"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решение вступает в силу </w:t>
      </w:r>
      <w:r>
        <w:rPr>
          <w:sz w:val="26"/>
          <w:szCs w:val="26"/>
        </w:rPr>
        <w:t xml:space="preserve">с 01 января 2025 года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113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Контроль за выполнением настоящего решения возложить на председателя Думы Кондинского района Р.В. Бринстера и главу Кондинского района А.В.</w:t>
      </w:r>
      <w:r>
        <w:rPr>
          <w:sz w:val="26"/>
          <w:szCs w:val="26"/>
        </w:rPr>
        <w:t xml:space="preserve">Зяблицева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Кондинского района                                                 Р.В. Бринстер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Кондинского района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А.В. Зяблицев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пгт. Междуреченский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«__»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pStyle w:val="Normal"/>
        <w:tabs>
          <w:tab w:val="left" w:pos="0" w:leader="none"/>
          <w:tab w:val="left" w:pos="851" w:leader="none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</w:pPr>
    </w:p>
    <w:sectPr>
      <w:headerReference w:type="default" r:id="rId7"/>
      <w:type w:val="nextPage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068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1.%1."/>
      <w:lvlJc w:val="left"/>
      <w:pPr>
        <w:pStyle w:val="Normal"/>
        <w:ind w:left="36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380" w:leader="none"/>
        </w:tabs>
        <w:ind w:left="13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00" w:leader="none"/>
        </w:tabs>
        <w:ind w:left="21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20" w:leader="none"/>
        </w:tabs>
        <w:ind w:left="28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540" w:leader="none"/>
        </w:tabs>
        <w:ind w:left="35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260" w:leader="none"/>
        </w:tabs>
        <w:ind w:left="42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980" w:leader="none"/>
        </w:tabs>
        <w:ind w:left="49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00" w:leader="none"/>
        </w:tabs>
        <w:ind w:left="57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20" w:leader="none"/>
        </w:tabs>
        <w:ind w:left="642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bCs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0">
    <w:name w:val="ConsNonformat"/>
    <w:next w:val="UserStyle_0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">
    <w:name w:val="ConsNormal"/>
    <w:next w:val="UserStyle_1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bCs/>
      <w:szCs w:val="20"/>
    </w:rPr>
  </w:style>
  <w:style w:type="paragraph" w:styleId="UserStyle_3">
    <w:name w:val="Прижатый влево"/>
    <w:basedOn w:val="Normal"/>
    <w:next w:val="Normal"/>
    <w:link w:val="Normal"/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rPr>
      <w:sz w:val="24"/>
      <w:szCs w:val="24"/>
    </w:rPr>
  </w:style>
  <w:style w:type="character" w:styleId="UserStyle_6">
    <w:name w:val="apple-converted-space"/>
    <w:basedOn w:val="NormalCharacter"/>
    <w:next w:val="UserStyle_6"/>
    <w:link w:val="Normal"/>
  </w:style>
  <w:style w:type="character" w:styleId="UserStyle_2">
    <w:name w:val="Основной текст Знак"/>
    <w:next w:val="UserStyle_2"/>
    <w:link w:val="BodyText"/>
    <w:rPr>
      <w:bCs/>
      <w:sz w:val="24"/>
    </w:rPr>
  </w:style>
  <w:style w:type="paragraph" w:styleId="UserStyle_7">
    <w:name w:val="s_15"/>
    <w:basedOn w:val="Normal"/>
    <w:next w:val="UserStyle_7"/>
    <w:link w:val="Normal"/>
    <w:pPr>
      <w:spacing w:before="100" w:beforeAutospacing="1" w:after="100" w:afterAutospacing="1"/>
    </w:pPr>
  </w:style>
  <w:style w:type="character" w:styleId="UserStyle_8">
    <w:name w:val="s_10"/>
    <w:next w:val="UserStyle_8"/>
    <w:link w:val="Normal"/>
  </w:style>
  <w:style w:type="paragraph" w:styleId="UserStyle_9">
    <w:name w:val="s_1"/>
    <w:basedOn w:val="Normal"/>
    <w:next w:val="UserStyle_9"/>
    <w:link w:val="Normal"/>
    <w:pPr>
      <w:spacing w:before="100" w:beforeAutospacing="1" w:after="100" w:afterAutospacing="1"/>
    </w:pPr>
  </w:style>
  <w:style w:type="paragraph" w:styleId="UserStyle_10">
    <w:name w:val="ConsPlusNormal"/>
    <w:next w:val="UserStyle_10"/>
    <w:link w:val="Normal"/>
    <w:pPr>
      <w:widowControl w:val="off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3082</Characters>
  <CharactersWithSpaces>3615</CharactersWithSpaces>
  <Company>*</Company>
  <DocSecurity>0</DocSecurity>
  <HyperlinksChanged>false</HyperlinksChanged>
  <Lines>25</Lines>
  <Pages>2</Pages>
  <Paragraphs>7</Paragraphs>
  <ScaleCrop>false</ScaleCrop>
  <SharedDoc>false</SharedDoc>
  <Template>Normal.dotm</Template>
  <Words>540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Боганова Юлия Валерьевна</cp:lastModifiedBy>
  <cp:revision>258</cp:revision>
  <dcterms:created xsi:type="dcterms:W3CDTF">2018-02-13T09:14:00Z</dcterms:created>
  <dcterms:modified xsi:type="dcterms:W3CDTF">2024-11-19T08:31:00Z</dcterms:modified>
  <cp:version>983040</cp:version>
</cp:coreProperties>
</file>