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 xml:space="preserve">сельское поселение </w:t>
      </w:r>
      <w:proofErr w:type="spellStart"/>
      <w:r w:rsidRPr="000D73CC">
        <w:rPr>
          <w:sz w:val="28"/>
          <w:szCs w:val="28"/>
        </w:rPr>
        <w:t>Болчары</w:t>
      </w:r>
      <w:proofErr w:type="spellEnd"/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</w:t>
      </w:r>
      <w:proofErr w:type="gramStart"/>
      <w:r w:rsidRPr="00207208">
        <w:rPr>
          <w:sz w:val="28"/>
          <w:szCs w:val="28"/>
        </w:rPr>
        <w:t>долг  МО</w:t>
      </w:r>
      <w:proofErr w:type="gramEnd"/>
      <w:r w:rsidRPr="0020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Болчары</w:t>
      </w:r>
      <w:proofErr w:type="spellEnd"/>
      <w:r w:rsidRPr="00207208">
        <w:rPr>
          <w:sz w:val="28"/>
          <w:szCs w:val="28"/>
        </w:rPr>
        <w:t xml:space="preserve"> по состоянию</w:t>
      </w:r>
    </w:p>
    <w:p w14:paraId="5C95481F" w14:textId="4E4242B6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01.0</w:t>
      </w:r>
      <w:r w:rsidR="00225A79">
        <w:rPr>
          <w:sz w:val="28"/>
          <w:szCs w:val="28"/>
        </w:rPr>
        <w:t>8</w:t>
      </w:r>
      <w:r w:rsidR="007400EF">
        <w:rPr>
          <w:sz w:val="28"/>
          <w:szCs w:val="28"/>
        </w:rPr>
        <w:t>.202</w:t>
      </w:r>
      <w:r w:rsidR="001F3741">
        <w:rPr>
          <w:sz w:val="28"/>
          <w:szCs w:val="28"/>
        </w:rPr>
        <w:t>4</w:t>
      </w:r>
      <w:r w:rsidR="007400EF">
        <w:rPr>
          <w:sz w:val="28"/>
          <w:szCs w:val="28"/>
        </w:rPr>
        <w:t>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4B7340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proofErr w:type="gramStart"/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 xml:space="preserve">образования сельское поселение </w:t>
      </w:r>
      <w:proofErr w:type="spellStart"/>
      <w:r w:rsidRPr="00F65096">
        <w:rPr>
          <w:sz w:val="28"/>
          <w:szCs w:val="28"/>
        </w:rPr>
        <w:t>Болчары</w:t>
      </w:r>
      <w:proofErr w:type="spellEnd"/>
    </w:p>
    <w:p w14:paraId="3B8EFC9F" w14:textId="72F08764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</w:t>
      </w:r>
      <w:r w:rsidR="001F3741">
        <w:rPr>
          <w:sz w:val="28"/>
          <w:szCs w:val="28"/>
        </w:rPr>
        <w:t>4</w:t>
      </w:r>
      <w:r>
        <w:rPr>
          <w:sz w:val="28"/>
          <w:szCs w:val="28"/>
        </w:rPr>
        <w:t>г. по 31.0</w:t>
      </w:r>
      <w:r w:rsidR="00FF0943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1F3741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314F8C53" w14:textId="77777777" w:rsidR="009D0842" w:rsidRDefault="009D0842" w:rsidP="009D084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3C7150F" w14:textId="77777777" w:rsidR="009D0842" w:rsidRDefault="009D0842" w:rsidP="009D08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177FB02D" w14:textId="77777777" w:rsidR="009D0842" w:rsidRDefault="009D0842" w:rsidP="009D0842">
      <w:pPr>
        <w:rPr>
          <w:sz w:val="28"/>
          <w:szCs w:val="28"/>
        </w:rPr>
      </w:pPr>
    </w:p>
    <w:p w14:paraId="18966C04" w14:textId="77777777" w:rsidR="009D0842" w:rsidRDefault="009D0842" w:rsidP="009D084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5DBA9BBC" w14:textId="77777777" w:rsidR="009D0842" w:rsidRDefault="009D0842" w:rsidP="009D0842">
      <w:pPr>
        <w:rPr>
          <w:color w:val="000000"/>
          <w:sz w:val="28"/>
          <w:szCs w:val="28"/>
        </w:rPr>
        <w:sectPr w:rsidR="009D0842" w:rsidSect="004B7340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Выписка из муниципальной Долговой книги муниципального образования сельское поселение </w:t>
      </w:r>
      <w:proofErr w:type="spellStart"/>
      <w:r w:rsidRPr="00F65096">
        <w:rPr>
          <w:rFonts w:ascii="Times New Roman" w:hAnsi="Times New Roman"/>
          <w:sz w:val="20"/>
        </w:rPr>
        <w:t>Болчары</w:t>
      </w:r>
      <w:proofErr w:type="spellEnd"/>
    </w:p>
    <w:p w14:paraId="723B41FC" w14:textId="6046219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</w:t>
      </w:r>
      <w:r w:rsidR="001F3741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31.0</w:t>
      </w:r>
      <w:r w:rsidR="00FF0943">
        <w:rPr>
          <w:rFonts w:ascii="Times New Roman" w:hAnsi="Times New Roman"/>
          <w:sz w:val="20"/>
        </w:rPr>
        <w:t>7</w:t>
      </w:r>
      <w:r w:rsidR="007400EF">
        <w:rPr>
          <w:rFonts w:ascii="Times New Roman" w:hAnsi="Times New Roman"/>
          <w:sz w:val="20"/>
        </w:rPr>
        <w:t>.202</w:t>
      </w:r>
      <w:r w:rsidR="001F3741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38CFEB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F37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9C2186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F37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4E53C8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F37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53653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F37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7AF952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F37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564E1BE0" w14:textId="77777777" w:rsidR="009D0842" w:rsidRDefault="009D0842" w:rsidP="009D084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0D9053EB" w14:textId="77777777" w:rsidR="009D0842" w:rsidRDefault="009D0842" w:rsidP="009D08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74F0154A" w14:textId="77777777" w:rsidR="009D0842" w:rsidRDefault="009D0842" w:rsidP="009D0842">
      <w:pPr>
        <w:rPr>
          <w:sz w:val="28"/>
          <w:szCs w:val="28"/>
        </w:rPr>
      </w:pPr>
    </w:p>
    <w:p w14:paraId="396DBD8E" w14:textId="77777777" w:rsidR="009D0842" w:rsidRDefault="009D0842" w:rsidP="009D084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4B7340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B62C" w14:textId="77777777" w:rsidR="004B7340" w:rsidRDefault="004B7340" w:rsidP="003275B4">
      <w:r>
        <w:separator/>
      </w:r>
    </w:p>
  </w:endnote>
  <w:endnote w:type="continuationSeparator" w:id="0">
    <w:p w14:paraId="4D76EE30" w14:textId="77777777" w:rsidR="004B7340" w:rsidRDefault="004B7340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3EAD" w14:textId="77777777" w:rsidR="004B7340" w:rsidRDefault="004B7340" w:rsidP="003275B4">
      <w:r>
        <w:separator/>
      </w:r>
    </w:p>
  </w:footnote>
  <w:footnote w:type="continuationSeparator" w:id="0">
    <w:p w14:paraId="676ED0B6" w14:textId="77777777" w:rsidR="004B7340" w:rsidRDefault="004B7340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3741"/>
    <w:rsid w:val="001F42FD"/>
    <w:rsid w:val="001F5B6C"/>
    <w:rsid w:val="001F6639"/>
    <w:rsid w:val="00225A7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C2F89"/>
    <w:rsid w:val="002D75F7"/>
    <w:rsid w:val="002E15C0"/>
    <w:rsid w:val="002E420C"/>
    <w:rsid w:val="002F344A"/>
    <w:rsid w:val="00306FCA"/>
    <w:rsid w:val="00321360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34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0842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3B2A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cp:lastPrinted>2024-02-20T10:22:00Z</cp:lastPrinted>
  <dcterms:created xsi:type="dcterms:W3CDTF">2022-09-19T06:58:00Z</dcterms:created>
  <dcterms:modified xsi:type="dcterms:W3CDTF">2024-02-20T10:22:00Z</dcterms:modified>
</cp:coreProperties>
</file>