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продаже муниципального имущества </w:t>
      </w:r>
    </w:p>
    <w:p w:rsidR="00FA3E33" w:rsidRPr="00FA3E33" w:rsidRDefault="001A592E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A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осредством</w:t>
      </w:r>
      <w:proofErr w:type="gramEnd"/>
      <w:r w:rsidR="00FA3E33" w:rsidRPr="00FA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аукциона с открытой формой подачи предложений о цене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FA3E33" w:rsidRPr="00FA3E33" w:rsidTr="00457362">
        <w:trPr>
          <w:trHeight w:val="432"/>
        </w:trPr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Продавец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474235">
            <w:pPr>
              <w:spacing w:after="0" w:line="240" w:lineRule="auto"/>
              <w:ind w:left="-108"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поселения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left="-108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 электронной площадки: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4368ED" w:rsidP="00FA3E33">
            <w:pPr>
              <w:widowControl w:val="0"/>
              <w:tabs>
                <w:tab w:val="left" w:pos="900"/>
                <w:tab w:val="left" w:pos="3600"/>
              </w:tabs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A3E33"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«Сбербанк-АСТ», владеющее сайтом </w:t>
            </w:r>
            <w:r w:rsidR="00FA3E33" w:rsidRPr="00FA3E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http://utp.sberbank-ast.ru/AP</w:t>
            </w:r>
            <w:r w:rsidR="00FA3E33"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  <w:p w:rsidR="00FA3E33" w:rsidRPr="00FA3E3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119180, г. Москва, ул. Большой Савинский переулок, дом 12, стр.9, </w:t>
            </w:r>
          </w:p>
          <w:p w:rsidR="00FA3E33" w:rsidRPr="00FA3E33" w:rsidRDefault="00FA3E33" w:rsidP="00FA3E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+7(495) 787-29-97, +7(495) 787-29-99</w:t>
            </w:r>
          </w:p>
        </w:tc>
      </w:tr>
      <w:tr w:rsidR="00FA3E33" w:rsidRPr="00FA3E33" w:rsidTr="00457362">
        <w:tc>
          <w:tcPr>
            <w:tcW w:w="10195" w:type="dxa"/>
          </w:tcPr>
          <w:p w:rsidR="008E187B" w:rsidRPr="00C344A3" w:rsidRDefault="00FA3E33" w:rsidP="00613FB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городского поселения </w:t>
            </w:r>
            <w:r w:rsidR="0047423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прогнозного плана приватизации муниципального имущества городского поселения </w:t>
            </w:r>
            <w:r w:rsidR="00B00AE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годы», постановление администрации городского поселения </w:t>
            </w:r>
            <w:r w:rsidR="00B00AE5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17FE6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617FE6"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условиях приватизации имущества»</w:t>
            </w:r>
            <w:r w:rsidR="00C3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Наименование имущества</w:t>
            </w:r>
            <w:r w:rsidRPr="00FA3E3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краткие характеристики муниципального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474235" w:rsidRPr="00474235" w:rsidRDefault="00FA3E33" w:rsidP="00474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  <w:r w:rsidRPr="00FA3E33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 – </w:t>
            </w:r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 КО-449-02 на шасси КамАЗ-65115-D3, идентификационный номер (YIN) Х5Н44902D80000019, год изготовления 2008, модель №</w:t>
            </w:r>
            <w:r w:rsidR="004E2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65115 КО-499-02, двигатель №</w:t>
            </w:r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6ISBЕ285 69505891, шасси (рама) № ХТС651153 81158790, кузов (кабина) № 2099954, цвет кузова оранжевый, мощность двигателя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(кВт) 281.8 (207), рабочий объем двигателя,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куб.см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6700, тип двигателя дизельный, экологический класс третий, разрешенная максимальная масса, кг 20550, масса без нагрузки, кг 11700, Организация изготовитель: ОАО э-д «КОММАШ» Россия, наименование организации выдавшей паспорт: ОАО э-д «КОММАШ» 303036, г. Мценск, Орловской обл., </w:t>
            </w:r>
            <w:proofErr w:type="spellStart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="00474235" w:rsidRP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«КОММАШ», паспорт транспортного средства 57 МС 558021, выдан 07.08.2008 года, государственный регистрационный знак К 642 ТТ 86, свидетельство о регистрации 99 28 365617 от 28.06.2022года.</w:t>
            </w:r>
          </w:p>
          <w:p w:rsidR="00153D6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r w:rsidRPr="00FA3E33">
              <w:rPr>
                <w:rFonts w:ascii="Tahoma" w:eastAsia="Times New Roman" w:hAnsi="Tahom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A3E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–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153D63"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девятьсот восемьдесят одна тысяча</w:t>
            </w:r>
            <w:r w:rsidR="00153D63" w:rsidRPr="00153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 00 копеек.</w:t>
            </w:r>
          </w:p>
          <w:p w:rsidR="00FA3E33" w:rsidRPr="00FA3E3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Задаток для участия в торгах–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девяноста</w:t>
            </w:r>
            <w:proofErr w:type="gramEnd"/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0F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61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6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копеек) (</w:t>
            </w:r>
            <w:r w:rsidR="00C42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 начальной цены предложения)</w:t>
            </w:r>
          </w:p>
          <w:p w:rsidR="00FA3E33" w:rsidRPr="00FA3E33" w:rsidRDefault="00FA3E33" w:rsidP="00613FB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 повышения цены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(«шаг аукциона») – </w:t>
            </w:r>
            <w:r w:rsidR="00613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9 810,00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613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девять тысяч восемьсот десять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рублей 00 копеек). (1% начальной цены предложения).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Способ приватизации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Продажа муниципального имущества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посредством аукциона с открытой формой подачи предложений о цене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Форма подачи предложений о цене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ткрытая по составу участников и форме подачи предложений о цене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регистрации на электронной площадке для подачи заявки на участие в продаже посредством аукциона в электронной форме.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обеспечения доступа к участию в электронном аукцион</w:t>
            </w:r>
            <w:bookmarkStart w:id="0" w:name="_GoBack"/>
            <w:bookmarkEnd w:id="0"/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Претендентам необходимо пройти процедуру регистрации на электронной площадке.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Регистрация на электронной площадке проводится в соответствии с Регламентом электронной площадки без взимания платы.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Подача заявки на участие осуществляется только посредством интерфейса универсальной торговой платформы </w:t>
            </w:r>
            <w:r w:rsidR="00436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«Сбербанк-АСТ» торговой секции «Приватизация, аренда и продажа прав» из личного кабинета претендента.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Инструкция для участника торгов по работе в торговой секции «Приватизация, аренда и продажа прав» универсальной торговой платформы </w:t>
            </w:r>
            <w:r w:rsidR="00436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АО «Сбербанк-АСТ» размещена по адресу: </w:t>
            </w:r>
            <w:hyperlink r:id="rId7" w:history="1">
              <w:proofErr w:type="gramStart"/>
              <w:r w:rsidRPr="00FA3E33">
                <w:rPr>
                  <w:rFonts w:ascii="Times New Roman" w:eastAsia="Times New Roman" w:hAnsi="Times New Roman" w:cs="Times New Roman"/>
                  <w:bCs/>
                  <w:color w:val="0000FF"/>
                  <w:szCs w:val="24"/>
                  <w:u w:val="single"/>
                  <w:lang w:eastAsia="ru-RU"/>
                </w:rPr>
                <w:t>http://utp.sberbank-ast.ru/AP/Notice/652/Instructions</w:t>
              </w:r>
            </w:hyperlink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после чего обязательно прикрепить к ней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заявку, заполненную в соответствии с образцом (определенным продавцом и приведённым в приложении № 1 к настоящему информационному сообщению)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бумажном носителе, преобразованную в электронно-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цифровую форму путем сканирования с сохранением реквизитов. 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 заполнения формы подачи заявки заявку необходимо подписать электронной подписью. 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      </w:r>
            <w:hyperlink r:id="rId8" w:history="1">
              <w:r w:rsidRPr="00FA3E3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eastAsia="ru-RU"/>
                </w:rPr>
                <w:t>http://www.sberbank-ast.ru/SBCAAuthorizeList.aspx</w:t>
              </w:r>
            </w:hyperlink>
          </w:p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Документооборот между претенд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лица, имеющего право действовать от имени претендента. 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Данное п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Порядок определения лиц, имеющих право приобретения 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имущества 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Продажа имущества посредством аукциона с открытой формой подачи предложений о цене проводится в соответствии с Федеральным законом от 21.12.2001 № 178-ФЗ «О приватизации государственного и муниципального имущества»,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Положением об организации и проведении продажи государственного или муниципального имущества в электронной форме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, утвержденным постановлением Правительства РФ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27.08.2012 № 860,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Регламентом электронной площадки «Сбербанк-АСТ» (размещен по адресу: http://utp.sberbank-ast.ru/Main/File/DownloadFile?fid=21514325-5801-4346-a9e2-9d82cddad205).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Победителями признаются участники, предложившие наиболее высокую цену за выставленные лоты.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продажи имущества проводится в день и во время, указанные в информационном сообщении о продаже имущества посредством аукциона в электронной форме, путем последовательного повышения цены первоначального предложения (цена имущества, указанная в информационном сообщении) на величину, равную величине "шага повышения".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и 10 минут на представление предложений о цене имущества на каждом "шаге повышения".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повышения", при отсутствии предложений других участников.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Размеры задатка, срок и порядок их внесения, необходимые реквизиты счетов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      </w:r>
          </w:p>
          <w:p w:rsidR="00FA3E33" w:rsidRPr="001D5DE7" w:rsidRDefault="00FA3E33" w:rsidP="00FA3E3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внесения задатка, т.е. поступления суммы задатка на счет </w:t>
            </w:r>
            <w:r w:rsidRPr="00FA3E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Оператора электронной площадки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позднее</w:t>
            </w:r>
            <w:r w:rsidRPr="001D5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Задаток для участия в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продаже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служит обеспечением исполнения обязательства победителя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 (каждый рабочий день в 10.00 ч., в 12.00 ч. в 15.00 ч. в 17.45 ч. - время московское).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Банковские реквизиты счета для перечисления задатка: </w:t>
            </w:r>
          </w:p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3969"/>
            </w:tblGrid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keepNext/>
                    <w:spacing w:after="0" w:line="240" w:lineRule="auto"/>
                    <w:jc w:val="both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</w:rPr>
                    <w:t>Получатель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4368ED" w:rsidP="00FA3E33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FA3E33"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АО "Сбербанк-АСТ"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7707308480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770401001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Расчетный счет: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40702810300020038047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keepNext/>
                    <w:spacing w:after="0" w:line="240" w:lineRule="auto"/>
                    <w:jc w:val="both"/>
                    <w:textAlignment w:val="top"/>
                    <w:outlineLvl w:val="2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rgbClr w14:val="FFFFFF">
                            <w14:alpha w14:val="50000"/>
                            <w14:lumMod w14:val="75000"/>
                          </w14:srgbClr>
                        </w14:solidFill>
                        <w14:prstDash w14:val="solid"/>
                        <w14:round/>
                      </w14:textOutline>
                    </w:rPr>
                    <w:t>Банк получателя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банка: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ПАО "СБЕРБАНК РОССИИ" Г. МОСКВА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044525225</w:t>
                  </w:r>
                </w:p>
              </w:tc>
            </w:tr>
            <w:tr w:rsidR="00FA3E33" w:rsidRPr="00FA3E33" w:rsidTr="00457362">
              <w:tc>
                <w:tcPr>
                  <w:tcW w:w="3256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Корреспондентский счет:</w:t>
                  </w:r>
                </w:p>
              </w:tc>
              <w:tc>
                <w:tcPr>
                  <w:tcW w:w="3969" w:type="dxa"/>
                  <w:hideMark/>
                </w:tcPr>
                <w:p w:rsidR="00FA3E33" w:rsidRPr="00FA3E33" w:rsidRDefault="00FA3E33" w:rsidP="00FA3E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30101810400000000225</w:t>
                  </w:r>
                </w:p>
              </w:tc>
            </w:tr>
          </w:tbl>
          <w:p w:rsidR="00FA3E33" w:rsidRPr="00FA3E33" w:rsidRDefault="00FA3E33" w:rsidP="00FA3E33">
            <w:pPr>
              <w:widowControl w:val="0"/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назначении платежа необходимо обязательно указать: «Перечисление денежных средств в качестве задатка (депозита) за участие в </w:t>
            </w:r>
            <w:r w:rsidR="001C1B27"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продаже муниципального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по извещению № ___, лот(ы) № 1</w:t>
            </w:r>
            <w:r w:rsidR="00CB7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№2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 плательщика), НДС не облагается».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Образец платежного поручения приведен на электронной площадке по адресу: </w:t>
            </w:r>
            <w:hyperlink r:id="rId9" w:history="1">
              <w:r w:rsidRPr="00FA3E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http://utp.sberbank-ast.ru/AP/Notice/653/Requisites</w:t>
              </w:r>
            </w:hyperlink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перечислении обеспечения участия в нескольких процедурах возможно заполнение одного платежного поручения на общую сумму.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уклонении или отказе победителя торгов от заключения в установленный срок договора купли-продажи Имущества результаты торгов аннулируются, победитель утрачивает право на заключение указанного договора, задаток ему не возвращается.</w:t>
            </w:r>
          </w:p>
          <w:p w:rsidR="00FA3E33" w:rsidRPr="008B3F6B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Данное информационное сообщение является публичной офертой для заключения договора о задатке в соответствии со </w:t>
            </w:r>
            <w:hyperlink r:id="rId10" w:history="1">
              <w:r w:rsidRPr="00FA3E33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статьей 437</w:t>
              </w:r>
            </w:hyperlink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Гражданского кодекса Российской </w:t>
            </w: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Федерации, а подача претендентом заявки на участие в продаже </w:t>
            </w:r>
            <w:r w:rsidRPr="008B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  <w:p w:rsidR="00FA3E33" w:rsidRPr="001D5DE7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Внесение задатка начинается 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 </w:t>
            </w:r>
          </w:p>
          <w:p w:rsidR="00FA3E33" w:rsidRPr="008B3F6B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перечислившим задаток для участия в продаже муниципального имущества по продаже имущества посредством аукциона в электронной форме, денежные средства возвращаются в следующем порядке: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участникам, за исключением победителя, - в течение 5 календарных дней со дня подведения итогов продажи имущества;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 Условия и сроки платежа, необходимые реквизиты счетов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8B3F6B" w:rsidRDefault="00FA3E33" w:rsidP="00FA3E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Реквизиты для </w:t>
            </w:r>
            <w:proofErr w:type="gramStart"/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оплаты  имущества</w:t>
            </w:r>
            <w:proofErr w:type="gramEnd"/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приобретаемого покупателем:</w:t>
            </w:r>
          </w:p>
          <w:p w:rsidR="00D7021D" w:rsidRPr="00455BB3" w:rsidRDefault="00D7021D" w:rsidP="00D7021D">
            <w:pPr>
              <w:spacing w:after="0" w:line="240" w:lineRule="auto"/>
              <w:ind w:left="59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Ханты-Мансийскому автономному округу-Югре (Администрация </w:t>
            </w:r>
            <w:proofErr w:type="gram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 Мортка</w:t>
            </w:r>
            <w:proofErr w:type="gram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л/с  04873032830)</w:t>
            </w:r>
          </w:p>
          <w:p w:rsidR="00455BB3" w:rsidRPr="00455BB3" w:rsidRDefault="00455BB3" w:rsidP="00455B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8616008570</w:t>
            </w:r>
          </w:p>
          <w:p w:rsidR="00455BB3" w:rsidRPr="00455BB3" w:rsidRDefault="00455BB3" w:rsidP="00455B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861601001</w:t>
            </w:r>
          </w:p>
          <w:p w:rsidR="008B3F6B" w:rsidRPr="00455BB3" w:rsidRDefault="008B3F6B" w:rsidP="008B3F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 </w:t>
            </w:r>
            <w:r w:rsidR="00D7021D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03100643000000018700</w:t>
            </w:r>
          </w:p>
          <w:p w:rsidR="008B3F6B" w:rsidRPr="00455BB3" w:rsidRDefault="008B3F6B" w:rsidP="008B3F6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  <w:r w:rsidR="00D7021D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40102810245370000007</w:t>
            </w:r>
          </w:p>
          <w:p w:rsidR="00455BB3" w:rsidRDefault="00455BB3" w:rsidP="00455BB3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007162163</w:t>
            </w:r>
          </w:p>
          <w:p w:rsidR="00D7021D" w:rsidRPr="00455BB3" w:rsidRDefault="00D7021D" w:rsidP="00455BB3">
            <w:pPr>
              <w:spacing w:after="0" w:line="240" w:lineRule="auto"/>
              <w:ind w:left="5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РКЦ Ханты-Мансийск//УФК по Ханты-Мансийскому автономному округу - Югре </w:t>
            </w:r>
            <w:proofErr w:type="spell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г.Ханты</w:t>
            </w:r>
            <w:proofErr w:type="spell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Мансийск</w:t>
            </w:r>
            <w:proofErr w:type="spellEnd"/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54F7" w:rsidRPr="00455BB3" w:rsidRDefault="00D7021D" w:rsidP="0045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F54F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="003F14D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3F54F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114 02053 </w:t>
            </w:r>
            <w:r w:rsidR="003F14D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F54F7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0000 410</w:t>
            </w:r>
          </w:p>
          <w:p w:rsidR="00FA3E33" w:rsidRPr="008B3F6B" w:rsidRDefault="00FA3E33" w:rsidP="00FA3E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="00B35E99" w:rsidRPr="0045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71816163</w:t>
            </w:r>
          </w:p>
          <w:p w:rsidR="00FA3E33" w:rsidRPr="00FA3E33" w:rsidRDefault="00FA3E33" w:rsidP="00FA3E3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Покупатели 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имущества оплачивают стоимость </w:t>
            </w:r>
            <w:r w:rsidR="001C1B27"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приобретённого имущества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10 (десяти) рабочих дней со дня заключения Договора купли-продажи на условиях, установленных Договором купли-продажи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455B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9. Порядок, место, даты начала и окончания подачи заявок 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677B01" w:rsidRDefault="00FA3E33" w:rsidP="00FA3E3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 и регистрация заявок</w:t>
            </w:r>
            <w:r w:rsidRPr="007E4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</w:t>
            </w: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E42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час. 00 мин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и заканчивается в </w:t>
            </w:r>
            <w:r w:rsid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 00 мин </w:t>
            </w:r>
            <w:r w:rsidR="0022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8B3F6B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  <w:r w:rsidRPr="0067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(МСК).</w:t>
            </w:r>
          </w:p>
          <w:p w:rsidR="00FA3E33" w:rsidRPr="008B3F6B" w:rsidRDefault="00FA3E33" w:rsidP="00FA3E3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площадки), с приложением электронных образов документов, предусмотренных Федеральным законом о приватизации.</w:t>
            </w:r>
          </w:p>
          <w:p w:rsidR="00FA3E33" w:rsidRPr="00677B01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приема заявок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продаже </w:t>
            </w:r>
            <w:r w:rsidRPr="00D9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посредством аукциона 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электронной форме – 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-00 час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(МСК).</w:t>
            </w:r>
          </w:p>
          <w:p w:rsidR="00FA3E33" w:rsidRPr="00677B01" w:rsidRDefault="00FA3E33" w:rsidP="00FA3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приема заявок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продаже </w:t>
            </w:r>
            <w:r w:rsidRPr="00D94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D94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– 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-00 час </w:t>
            </w:r>
            <w:r w:rsidR="0022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455D8"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7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(МСК).</w:t>
            </w:r>
          </w:p>
          <w:p w:rsidR="00FA3E33" w:rsidRPr="00C03264" w:rsidRDefault="00FA3E33" w:rsidP="00FA3E3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 и признание претендентов участниками</w:t>
            </w:r>
            <w:r w:rsidRPr="00C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 </w:t>
            </w:r>
            <w:r w:rsidRPr="00C0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C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 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8B3F6B"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5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0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 час. (МСК).</w:t>
            </w:r>
          </w:p>
          <w:p w:rsidR="00FA3E33" w:rsidRPr="00C03264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Продажа </w:t>
            </w:r>
            <w:r w:rsidRPr="00C0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 состоится</w:t>
            </w:r>
            <w:r w:rsidRPr="00C0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и время начала продажи) – 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8B3F6B"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8B3F6B"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 0</w:t>
            </w:r>
            <w:r w:rsidR="00C03264"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-00 час. (МСК).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подведения итогов продажи </w:t>
            </w:r>
            <w:r w:rsidRPr="008B3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посредством аукциона</w:t>
            </w:r>
            <w:r w:rsidRPr="008B3F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электронной форме: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электронная площадка – универсальная торговая платформа </w:t>
            </w:r>
            <w:r w:rsidR="004368ED"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«Сбербанк-АСТ», размещенная на сайте http://utp.sberbank-ast.ru в сети Интернет (торговая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«приватизация, аренда и продажа прав»).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итогах продажи имущества посредством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10. 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Претендент не допускается к участию в продаже посредством аукциона</w:t>
            </w:r>
          </w:p>
          <w:p w:rsidR="00FA3E33" w:rsidRPr="00FA3E33" w:rsidRDefault="00FA3E33" w:rsidP="00FA3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следующим основаниям: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1)представленные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не подтверждают право претендента быть покупателем в соответствии с </w:t>
            </w:r>
            <w:hyperlink r:id="rId11" w:history="1">
              <w:r w:rsidRPr="00FA3E3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заявка на участие в продаже посредством аукциона подана лицом, не уполномоченным претендентом на осуществление таких действий;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поступление в установленный срок задатка на счета, указанные в информационном сообщении, не подтверждено.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оснований отказа претенденту </w:t>
            </w: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участии в продаже аукциона в электронной форме является исчерпывающим.</w:t>
            </w:r>
          </w:p>
        </w:tc>
      </w:tr>
      <w:tr w:rsidR="00FA3E33" w:rsidRPr="00FA3E33" w:rsidTr="00D15FC7">
        <w:tc>
          <w:tcPr>
            <w:tcW w:w="10195" w:type="dxa"/>
            <w:tcBorders>
              <w:bottom w:val="nil"/>
            </w:tcBorders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Перечень представляемых участниками торгов документов, требование к их оформлению</w:t>
            </w:r>
          </w:p>
        </w:tc>
      </w:tr>
      <w:tr w:rsidR="00FA3E33" w:rsidRPr="00FA3E33" w:rsidTr="00D15FC7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Одновременно с заявкой установленной формы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претенденты представляют следующие документы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sub_161002"/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юридические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лица: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161003"/>
            <w:bookmarkEnd w:id="1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заверенные копии учредительных документов;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61004"/>
            <w:bookmarkEnd w:id="2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61005"/>
            <w:bookmarkEnd w:id="3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61006"/>
            <w:bookmarkEnd w:id="4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физические</w:t>
            </w:r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лица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6102"/>
            <w:bookmarkEnd w:id="5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  <w:bookmarkEnd w:id="6"/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2. 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A3E33" w:rsidRPr="00FA3E33" w:rsidRDefault="00FA3E33" w:rsidP="00897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данным документам (в том числе к каждому тому) также прилагается их опись (</w:t>
            </w:r>
            <w:r w:rsidRPr="00FA3E33">
              <w:rPr>
                <w:rFonts w:ascii="Times New Roman" w:eastAsia="TimesNewRoman" w:hAnsi="Times New Roman" w:cs="Times New Roman"/>
                <w:sz w:val="24"/>
                <w:szCs w:val="24"/>
                <w:lang w:eastAsia="ru-RU"/>
              </w:rPr>
              <w:t>Приложение № 2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A3E33" w:rsidRPr="00FA3E33" w:rsidTr="00D15FC7">
        <w:tc>
          <w:tcPr>
            <w:tcW w:w="10195" w:type="dxa"/>
            <w:tcBorders>
              <w:top w:val="nil"/>
            </w:tcBorders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12. </w:t>
            </w:r>
            <w:r w:rsidRPr="00FA3E3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eastAsia="ru-RU"/>
              </w:rPr>
              <w:t>Ограничения участия отдельных категорий физических и юридических лиц в приватизации муниципального имущества</w:t>
            </w: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A3E33" w:rsidRPr="00FA3E33" w:rsidTr="00457362">
        <w:trPr>
          <w:trHeight w:val="797"/>
        </w:trPr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-государственных и муниципальных унитарных предприятий, государственных и муниципальных учреждений;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Российской Федерации от 21.12.2001                   № 178-ФЗ «О приватизации государственного и муниципального имущества»;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бенефициарных</w:t>
            </w:r>
            <w:proofErr w:type="spellEnd"/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 Срок заключения договора купли-продажи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 даты проведения продажи с победителем заключается договор купли-продажи имущества.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 Порядок ознакомления покупателей с иной информацией, условиями договора купли-продажи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C167D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документами по объект</w:t>
            </w:r>
            <w:r w:rsidR="001B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продажи, получить информацию об условиях договора купли-продажи, условиях проведения продажи и иную информацию можно на официальном сайте </w:t>
            </w:r>
            <w:r w:rsidR="00B35E99" w:rsidRP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органов местного самоуправления муниципального образования Кондинский район </w:t>
            </w:r>
            <w:hyperlink r:id="rId12" w:history="1">
              <w:r w:rsidR="00B35E99" w:rsidRPr="00B35E99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http://admkonda.ru/mortka-auktciony-konkursy.html</w:t>
              </w:r>
            </w:hyperlink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официальном сайте Российской Федерации </w:t>
            </w:r>
            <w:hyperlink r:id="rId13" w:history="1"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A3E33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у 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Продавца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любой день, установленный для приема заявок, т.е. ежедневно, кроме субботы, воскресенья и праздничных дней с 9 час. 00 мин. до 12 час. 00 мин. и с 13 час. 30 мин. до 17 час. 00 мин. (время местное). Обращаться по адресу: Ханты-Мансийский автономный округ – Югра, Кондинский район, пгт.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телефон 8 (34677) 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</w:t>
            </w:r>
            <w:r w:rsidR="00C16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 Участники продажи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Покупателями муниципального имущества могут быть любые физические и юридические лица  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 Дата, время и место рассмотрения заявок и представленных документов и дата, время и место подведения итогов продажи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624CDB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заявок проводится по адресу: Ханты-Мансийский автономный округ – Югра, Кондинский район, пгт. </w:t>
            </w:r>
            <w:proofErr w:type="gramStart"/>
            <w:r w:rsidR="00B35E99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Мортка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</w:t>
            </w:r>
            <w:proofErr w:type="gramEnd"/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35E99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Путейская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B35E99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A3E33" w:rsidRPr="00624CDB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Подведение итогов продажи имущества проводится по адресу: Ханты-Мансийский автономный округ – Югра, Кондинский район, пгт. </w:t>
            </w:r>
            <w:proofErr w:type="gramStart"/>
            <w:r w:rsidR="00046330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Мортка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</w:t>
            </w:r>
            <w:proofErr w:type="gramEnd"/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6330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Путейская</w:t>
            </w:r>
            <w:r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046330" w:rsidRPr="0062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  <w:p w:rsidR="00FA3E33" w:rsidRPr="001D5DE7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Определение </w:t>
            </w:r>
            <w:r w:rsidRPr="001D5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 продажи посредством аукциона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проводится 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677B01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17FE6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0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час. 00 мин. (МСК)</w:t>
            </w:r>
          </w:p>
          <w:p w:rsidR="00FA3E33" w:rsidRPr="00FA3E33" w:rsidRDefault="00FA3E33" w:rsidP="00896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Продажа проводится 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апреля</w:t>
            </w:r>
            <w:r w:rsidR="008B3F6B"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96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года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0</w:t>
            </w:r>
            <w:r w:rsidR="00C03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D5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час. 00 мин. (МСК)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17. Форма платежа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Безналичный расчёт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 Продажа имущества посредством аукциона в электронной форме признается несостоявшейся</w:t>
            </w: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следующих случаях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не было подано ни одной заявки на участие в продаже имущества посредством аукциона либо ни один из претендентов не признан участником такой продажи;</w:t>
            </w:r>
          </w:p>
          <w:p w:rsidR="00FA3E33" w:rsidRPr="00FA3E33" w:rsidRDefault="00FA3E33" w:rsidP="00FA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принято решение о признании только одного претендента участником;</w:t>
            </w:r>
          </w:p>
        </w:tc>
      </w:tr>
      <w:tr w:rsidR="00FA3E33" w:rsidRPr="00FA3E33" w:rsidTr="00457362">
        <w:tc>
          <w:tcPr>
            <w:tcW w:w="10195" w:type="dxa"/>
          </w:tcPr>
          <w:p w:rsidR="00FA3E33" w:rsidRPr="00FA3E33" w:rsidRDefault="00FA3E33" w:rsidP="00FA3E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 Информация о предыдущих торгах по продаже муниципального имущества</w:t>
            </w:r>
          </w:p>
        </w:tc>
      </w:tr>
      <w:tr w:rsidR="00FA3E33" w:rsidRPr="00FA3E33" w:rsidTr="00457362">
        <w:tc>
          <w:tcPr>
            <w:tcW w:w="10195" w:type="dxa"/>
          </w:tcPr>
          <w:p w:rsidR="00E92361" w:rsidRDefault="00E92361" w:rsidP="00FA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A68" w:rsidRPr="00FA3E33" w:rsidRDefault="00E92361" w:rsidP="00224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Торги по лоту №1</w:t>
            </w:r>
            <w:r w:rsidR="008B6A68" w:rsidRPr="005A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проводятся </w:t>
            </w:r>
            <w:r w:rsidR="0022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</w:t>
            </w:r>
            <w:r w:rsidR="008B6A68" w:rsidRPr="005A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3E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FA3E33" w:rsidRPr="00FA3E33" w:rsidRDefault="00FA3E33" w:rsidP="00FA3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1 - форма заявки </w:t>
      </w:r>
    </w:p>
    <w:p w:rsidR="00FA3E33" w:rsidRPr="00FA3E33" w:rsidRDefault="00FA3E33" w:rsidP="00F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ПРОДАЖЕ ИМУЩЕСТВА ПОСРЕДСТВОМ АУКЦИОНА 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информационным сообщением № ______ по лоту № 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"______" ____________ 20</w:t>
      </w:r>
      <w:r w:rsidR="00ED33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юридическим лицом:</w:t>
      </w:r>
    </w:p>
    <w:p w:rsidR="00FA3E33" w:rsidRPr="00FA3E33" w:rsidRDefault="00FA3E33" w:rsidP="00FA3E3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юридического лица, подающего заявку)</w:t>
      </w:r>
    </w:p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____________________________________________________________________,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отчество, должность)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___________________________________________________,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доверенности и т.д.)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 далее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Претендент,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</w:t>
      </w:r>
      <w:proofErr w:type="gramEnd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физическим лицом, в том числе индивидуальным предпринимателем: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(ИП заявителя; фамилия, имя, отчество физического лица, подающего заявку)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данные: серия ___________________№_______________________________________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(а) по адресу:  ______________________________________________________________________________________________________________________________________________________________________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Претендент,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его основные характеристики и местонахождение)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объекта (имущества)____________________________________________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данными о Продавце, предмете продажи, начальной цене продажи имущества, величине повышения начальной цены продажи имущества («шаг аукциона», «шаге понижения», «цене отсечения»), дате, времени и месте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подтверждает, что 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настоящей процедуры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настоящей процедуры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претензий к Продавцу не имеет.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Настоящей заявкой подтверждаем(-ю), что: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против нас (меня) не проводится процедура ликвидации;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A3E33" w:rsidRPr="00FA3E33" w:rsidRDefault="00FA3E33" w:rsidP="00FA3E33">
      <w:pPr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заявкой подтверждаем(-ю) свое согласие на обработку персональных данных.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3E33" w:rsidRPr="00FA3E33" w:rsidRDefault="00FA3E33" w:rsidP="00FA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Адрес, телефон, ИНН (при наличии) и банковские реквизиты Претендента: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__________________________________________________________________________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Приложения: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юридических лиц: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учредительных документов;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A3E33" w:rsidRPr="00FA3E33" w:rsidRDefault="00FA3E33" w:rsidP="00FA3E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документы, представляемые по желанию Претендента в составе заявки: __________.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физических лиц: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копии всех листов документа удостоверяющего личность.</w:t>
      </w:r>
    </w:p>
    <w:p w:rsidR="00FA3E33" w:rsidRPr="00FA3E33" w:rsidRDefault="00FA3E33" w:rsidP="00FA3E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FA3E33" w:rsidRPr="00FA3E33" w:rsidRDefault="00FA3E33" w:rsidP="00FA3E3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Иные документы, представляемые по желанию Претендента в составе </w:t>
      </w:r>
      <w:proofErr w:type="gramStart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:</w:t>
      </w:r>
      <w:proofErr w:type="gramEnd"/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__________.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представителя)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         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______________________________________</w:t>
      </w:r>
    </w:p>
    <w:p w:rsidR="00FA3E33" w:rsidRPr="00FA3E33" w:rsidRDefault="00FA3E33" w:rsidP="00FA3E3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proofErr w:type="gramStart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</w:t>
      </w:r>
      <w:proofErr w:type="gramEnd"/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заявителя</w:t>
      </w: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(подпись)            расшифровка подписи (фамилия, инициалы)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 «______»__________________20</w:t>
      </w:r>
      <w:r w:rsidR="003003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FD7" w:rsidRDefault="00085FD7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– образец описи</w:t>
      </w:r>
    </w:p>
    <w:p w:rsidR="00FA3E33" w:rsidRPr="00FA3E33" w:rsidRDefault="00FA3E33" w:rsidP="00F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</w:p>
    <w:p w:rsidR="00FA3E33" w:rsidRPr="00FA3E33" w:rsidRDefault="00FA3E33" w:rsidP="00FA3E33">
      <w:pPr>
        <w:widowControl w:val="0"/>
        <w:spacing w:after="60" w:line="240" w:lineRule="auto"/>
        <w:ind w:right="-57" w:hanging="22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Настоящим, ___________________________________________подтверждает, что для участия 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A3E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 физического лица/наименование юридического лица)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электронных торгах по объекту муниципального имущества по</w:t>
      </w:r>
      <w:r w:rsidRPr="00FA3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лоту № ___ </w:t>
      </w:r>
      <w:r w:rsidRPr="00FA3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направляются ниже перечисленные документы:</w:t>
      </w:r>
    </w:p>
    <w:p w:rsidR="00FA3E33" w:rsidRPr="00FA3E33" w:rsidRDefault="00FA3E33" w:rsidP="00FA3E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290"/>
        <w:gridCol w:w="1070"/>
      </w:tblGrid>
      <w:tr w:rsidR="00FA3E33" w:rsidRPr="00FA3E33" w:rsidTr="00FA3E33">
        <w:trPr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29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</w:t>
            </w:r>
            <w:proofErr w:type="spellEnd"/>
            <w:proofErr w:type="gramEnd"/>
            <w:r w:rsidRPr="00FA3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ниц</w:t>
            </w:r>
          </w:p>
        </w:tc>
      </w:tr>
      <w:tr w:rsidR="00FA3E33" w:rsidRPr="00FA3E33" w:rsidTr="00457362">
        <w:trPr>
          <w:trHeight w:val="608"/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9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открытом аукционе </w:t>
            </w: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E33" w:rsidRPr="00FA3E33" w:rsidTr="00457362">
        <w:trPr>
          <w:cantSplit/>
          <w:trHeight w:val="1252"/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2.*</w:t>
            </w: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E33" w:rsidRPr="00FA3E33" w:rsidTr="00457362">
        <w:trPr>
          <w:trHeight w:val="1072"/>
          <w:jc w:val="center"/>
        </w:trPr>
        <w:tc>
          <w:tcPr>
            <w:tcW w:w="720" w:type="dxa"/>
            <w:vAlign w:val="center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3E33" w:rsidRPr="00FA3E33" w:rsidTr="00457362">
        <w:trPr>
          <w:trHeight w:val="360"/>
          <w:jc w:val="center"/>
        </w:trPr>
        <w:tc>
          <w:tcPr>
            <w:tcW w:w="72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33" w:rsidRPr="00FA3E33" w:rsidTr="00457362">
        <w:trPr>
          <w:trHeight w:val="558"/>
          <w:jc w:val="center"/>
        </w:trPr>
        <w:tc>
          <w:tcPr>
            <w:tcW w:w="72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33" w:rsidRPr="00FA3E33" w:rsidTr="00457362">
        <w:trPr>
          <w:trHeight w:val="558"/>
          <w:jc w:val="center"/>
        </w:trPr>
        <w:tc>
          <w:tcPr>
            <w:tcW w:w="72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E33" w:rsidRPr="00FA3E33" w:rsidTr="00457362">
        <w:trPr>
          <w:trHeight w:val="558"/>
          <w:jc w:val="center"/>
        </w:trPr>
        <w:tc>
          <w:tcPr>
            <w:tcW w:w="720" w:type="dxa"/>
            <w:tcBorders>
              <w:bottom w:val="single" w:sz="12" w:space="0" w:color="auto"/>
            </w:tcBorders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0" w:type="dxa"/>
            <w:tcBorders>
              <w:bottom w:val="single" w:sz="12" w:space="0" w:color="auto"/>
            </w:tcBorders>
          </w:tcPr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E33" w:rsidRPr="00FA3E33" w:rsidRDefault="00FA3E33" w:rsidP="00FA3E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bottom w:val="single" w:sz="12" w:space="0" w:color="auto"/>
            </w:tcBorders>
          </w:tcPr>
          <w:p w:rsidR="00FA3E33" w:rsidRPr="00FA3E33" w:rsidRDefault="00FA3E33" w:rsidP="00FA3E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E33" w:rsidRPr="00FA3E33" w:rsidRDefault="00FA3E33" w:rsidP="00FA3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33">
        <w:rPr>
          <w:rFonts w:ascii="Times New Roman" w:eastAsia="Times New Roman" w:hAnsi="Times New Roman" w:cs="Times New Roman"/>
          <w:sz w:val="24"/>
          <w:szCs w:val="24"/>
          <w:lang w:eastAsia="ru-RU"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FA3E33" w:rsidRPr="00FA3E33" w:rsidRDefault="00FA3E33" w:rsidP="00FA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E33" w:rsidRPr="00FA3E33" w:rsidRDefault="00FA3E33" w:rsidP="00FA3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33" w:rsidRPr="00FA3E33" w:rsidRDefault="00FA3E33" w:rsidP="00FA3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E33" w:rsidRPr="00FA3E33" w:rsidRDefault="00FA3E33" w:rsidP="00FA3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1884" w:rsidRDefault="00C71884"/>
    <w:sectPr w:rsidR="00C71884" w:rsidSect="0097583A">
      <w:footerReference w:type="even" r:id="rId14"/>
      <w:footerReference w:type="default" r:id="rId15"/>
      <w:pgSz w:w="11906" w:h="16838"/>
      <w:pgMar w:top="709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E0" w:rsidRDefault="008766E0">
      <w:pPr>
        <w:spacing w:after="0" w:line="240" w:lineRule="auto"/>
      </w:pPr>
      <w:r>
        <w:separator/>
      </w:r>
    </w:p>
  </w:endnote>
  <w:endnote w:type="continuationSeparator" w:id="0">
    <w:p w:rsidR="008766E0" w:rsidRDefault="0087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3003A6" w:rsidP="00762C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565" w:rsidRDefault="008766E0" w:rsidP="00E82D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565" w:rsidRDefault="003003A6" w:rsidP="00762C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EEF">
      <w:rPr>
        <w:rStyle w:val="a5"/>
        <w:noProof/>
      </w:rPr>
      <w:t>4</w:t>
    </w:r>
    <w:r>
      <w:rPr>
        <w:rStyle w:val="a5"/>
      </w:rPr>
      <w:fldChar w:fldCharType="end"/>
    </w:r>
  </w:p>
  <w:p w:rsidR="00597565" w:rsidRDefault="008766E0" w:rsidP="00E82D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E0" w:rsidRDefault="008766E0">
      <w:pPr>
        <w:spacing w:after="0" w:line="240" w:lineRule="auto"/>
      </w:pPr>
      <w:r>
        <w:separator/>
      </w:r>
    </w:p>
  </w:footnote>
  <w:footnote w:type="continuationSeparator" w:id="0">
    <w:p w:rsidR="008766E0" w:rsidRDefault="0087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D294F"/>
    <w:multiLevelType w:val="multilevel"/>
    <w:tmpl w:val="307ED8E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3"/>
    <w:rsid w:val="00046330"/>
    <w:rsid w:val="00071AE6"/>
    <w:rsid w:val="00085FD7"/>
    <w:rsid w:val="000F0297"/>
    <w:rsid w:val="000F6D43"/>
    <w:rsid w:val="00153D63"/>
    <w:rsid w:val="001974EB"/>
    <w:rsid w:val="001A592E"/>
    <w:rsid w:val="001A5C02"/>
    <w:rsid w:val="001B70DA"/>
    <w:rsid w:val="001C1B27"/>
    <w:rsid w:val="001D5DE7"/>
    <w:rsid w:val="00203D22"/>
    <w:rsid w:val="00224EBE"/>
    <w:rsid w:val="0024097E"/>
    <w:rsid w:val="002A1520"/>
    <w:rsid w:val="002C5A7F"/>
    <w:rsid w:val="002D0A5E"/>
    <w:rsid w:val="003003A6"/>
    <w:rsid w:val="003E5263"/>
    <w:rsid w:val="003F14D7"/>
    <w:rsid w:val="003F54F7"/>
    <w:rsid w:val="00416908"/>
    <w:rsid w:val="004368ED"/>
    <w:rsid w:val="00455BB3"/>
    <w:rsid w:val="00466B56"/>
    <w:rsid w:val="00474235"/>
    <w:rsid w:val="004D2F60"/>
    <w:rsid w:val="004E2CF4"/>
    <w:rsid w:val="00524751"/>
    <w:rsid w:val="005352E4"/>
    <w:rsid w:val="005A7015"/>
    <w:rsid w:val="00613FBF"/>
    <w:rsid w:val="00617FE6"/>
    <w:rsid w:val="00624CDB"/>
    <w:rsid w:val="00643A06"/>
    <w:rsid w:val="00677B01"/>
    <w:rsid w:val="006D2F64"/>
    <w:rsid w:val="007E4278"/>
    <w:rsid w:val="0086160C"/>
    <w:rsid w:val="008766E0"/>
    <w:rsid w:val="00896537"/>
    <w:rsid w:val="00897337"/>
    <w:rsid w:val="008B3F6B"/>
    <w:rsid w:val="008B6A68"/>
    <w:rsid w:val="008D1056"/>
    <w:rsid w:val="008E187B"/>
    <w:rsid w:val="0097583A"/>
    <w:rsid w:val="00A54588"/>
    <w:rsid w:val="00A9471C"/>
    <w:rsid w:val="00AC0180"/>
    <w:rsid w:val="00B00AE5"/>
    <w:rsid w:val="00B0273A"/>
    <w:rsid w:val="00B35E99"/>
    <w:rsid w:val="00BC4C33"/>
    <w:rsid w:val="00BC628E"/>
    <w:rsid w:val="00BD152C"/>
    <w:rsid w:val="00C03264"/>
    <w:rsid w:val="00C167D9"/>
    <w:rsid w:val="00C344A3"/>
    <w:rsid w:val="00C42EEF"/>
    <w:rsid w:val="00C53463"/>
    <w:rsid w:val="00C71884"/>
    <w:rsid w:val="00CB7A07"/>
    <w:rsid w:val="00CD1300"/>
    <w:rsid w:val="00D15FC7"/>
    <w:rsid w:val="00D36869"/>
    <w:rsid w:val="00D7021D"/>
    <w:rsid w:val="00D73CB4"/>
    <w:rsid w:val="00D949FE"/>
    <w:rsid w:val="00DE3D86"/>
    <w:rsid w:val="00E35E98"/>
    <w:rsid w:val="00E41139"/>
    <w:rsid w:val="00E92361"/>
    <w:rsid w:val="00ED333F"/>
    <w:rsid w:val="00F12D9E"/>
    <w:rsid w:val="00F35874"/>
    <w:rsid w:val="00F455D8"/>
    <w:rsid w:val="00F53C1A"/>
    <w:rsid w:val="00FA3E33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07D0F-A615-4ADB-8124-020CCAFF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3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3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A3E3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A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3E3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F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SBCAAuthorizeList.aspx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/Notice/652/Instructions" TargetMode="External"/><Relationship Id="rId12" Type="http://schemas.openxmlformats.org/officeDocument/2006/relationships/hyperlink" Target="http://admkonda.ru/mortka-auktciony-konkurs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29B7B8959109BB5079C7C544FA6836AB721F9FE2A0BBE2B531F24056E93828143B415BA7C1AFA0G7w6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10F5D937D850D81206C84D1299789FB165035802CFCC36DD343B7EAA5B15203F1A2275EC6233CD8L2b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2025-03-26T10:00:00Z</cp:lastPrinted>
  <dcterms:created xsi:type="dcterms:W3CDTF">2022-08-29T06:14:00Z</dcterms:created>
  <dcterms:modified xsi:type="dcterms:W3CDTF">2025-03-26T10:27:00Z</dcterms:modified>
</cp:coreProperties>
</file>