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742A45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 проведении</w:t>
      </w:r>
      <w:r w:rsidR="00C50011" w:rsidRPr="008F0E15">
        <w:rPr>
          <w:b/>
          <w:bCs/>
          <w:sz w:val="25"/>
          <w:szCs w:val="25"/>
        </w:rPr>
        <w:t xml:space="preserve"> аукциона на право заключения </w:t>
      </w:r>
    </w:p>
    <w:p w:rsidR="00C50011" w:rsidRDefault="00742A45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договора</w:t>
      </w:r>
      <w:r w:rsidR="0017786C" w:rsidRPr="008F0E15">
        <w:rPr>
          <w:b/>
          <w:bCs/>
          <w:sz w:val="25"/>
          <w:szCs w:val="25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</w:rPr>
        <w:t>а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414312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DC3032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EB6696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на право заключения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 xml:space="preserve"> договора аренды земельного участка </w:t>
            </w:r>
            <w:r w:rsidR="00F330EA" w:rsidRPr="00414312">
              <w:rPr>
                <w:rFonts w:ascii="Times New Roman" w:hAnsi="Times New Roman"/>
                <w:sz w:val="24"/>
                <w:szCs w:val="24"/>
              </w:rPr>
              <w:t xml:space="preserve">состоится  </w:t>
            </w:r>
            <w:r w:rsidR="00923FA5" w:rsidRPr="00414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5E6" w:rsidRPr="00414312">
              <w:rPr>
                <w:rFonts w:ascii="Times New Roman" w:hAnsi="Times New Roman"/>
                <w:b/>
                <w:sz w:val="24"/>
                <w:szCs w:val="24"/>
              </w:rPr>
              <w:t>24 ноября</w:t>
            </w:r>
            <w:r w:rsidR="005F3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330EA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472EDA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23FA5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C860D9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30EA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30EA"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923FA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742A45" w:rsidRPr="0041431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5E6" w:rsidRPr="00414312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  <w:r w:rsidR="005F3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17620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2021 </w:t>
            </w:r>
            <w:r w:rsidR="00974BFD" w:rsidRPr="00742A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974B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A430A" w:rsidRPr="005F35E6" w:rsidRDefault="00F67439" w:rsidP="004E56DB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5F35E6">
              <w:t xml:space="preserve">Постановление администрации городского поселения Мортка </w:t>
            </w:r>
            <w:r w:rsidR="004E56DB" w:rsidRPr="005F35E6">
              <w:t xml:space="preserve"> </w:t>
            </w:r>
            <w:r w:rsidRPr="005F35E6">
              <w:t xml:space="preserve">от </w:t>
            </w:r>
            <w:r w:rsidR="005F35E6" w:rsidRPr="005F35E6">
              <w:t>22 сентября</w:t>
            </w:r>
            <w:r w:rsidRPr="005F35E6">
              <w:t xml:space="preserve"> 20</w:t>
            </w:r>
            <w:r w:rsidR="008869ED" w:rsidRPr="005F35E6">
              <w:t>2</w:t>
            </w:r>
            <w:r w:rsidR="00A36A68" w:rsidRPr="005F35E6">
              <w:t>1</w:t>
            </w:r>
            <w:r w:rsidRPr="005F35E6">
              <w:t xml:space="preserve"> года № </w:t>
            </w:r>
            <w:r w:rsidR="005F35E6" w:rsidRPr="005F35E6">
              <w:t>216</w:t>
            </w:r>
            <w:r w:rsidR="00F7360B" w:rsidRPr="005F35E6">
              <w:t xml:space="preserve"> </w:t>
            </w:r>
            <w:r w:rsidRPr="005F35E6">
              <w:t>«О проведении торгов на право заключения договор</w:t>
            </w:r>
            <w:r w:rsidR="005F35E6" w:rsidRPr="005F35E6">
              <w:t>а</w:t>
            </w:r>
            <w:r w:rsidRPr="005F35E6">
              <w:t xml:space="preserve"> аренды земельн</w:t>
            </w:r>
            <w:r w:rsidR="005F35E6" w:rsidRPr="005F35E6">
              <w:t>ого</w:t>
            </w:r>
            <w:r w:rsidRPr="005F35E6">
              <w:t xml:space="preserve"> участк</w:t>
            </w:r>
            <w:r w:rsidR="005F35E6" w:rsidRPr="005F35E6">
              <w:t>а</w:t>
            </w:r>
            <w:r w:rsidRPr="005F35E6">
              <w:t>»</w:t>
            </w:r>
            <w:r w:rsidR="00742A45" w:rsidRPr="005F35E6">
              <w:t>.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F729B6" w:rsidRPr="00441358" w:rsidRDefault="00F729B6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F729B6" w:rsidRPr="00441358" w:rsidRDefault="00F729B6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729B6" w:rsidRPr="00441358" w:rsidRDefault="00F729B6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245202" w:rsidRDefault="00245202" w:rsidP="00A91720">
            <w:pPr>
              <w:shd w:val="clear" w:color="auto" w:fill="FFFFFF"/>
              <w:rPr>
                <w:spacing w:val="3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F729B6" w:rsidRDefault="00F729B6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F84CF6" w:rsidRDefault="00F84CF6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449DA" w:rsidRPr="00441358" w:rsidRDefault="005449D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42A45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 w:rsidR="005F35E6"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  <w:r w:rsidR="00F729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5F35E6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Промышленная, д. 28/1, пгт. Мортка, </w:t>
            </w:r>
            <w:r w:rsidR="007A430A" w:rsidRPr="00441358">
              <w:rPr>
                <w:rFonts w:ascii="Times New Roman" w:hAnsi="Times New Roman"/>
                <w:sz w:val="24"/>
                <w:szCs w:val="24"/>
              </w:rPr>
              <w:t>Кондинский район, Ханты-Мансийский автономный</w:t>
            </w:r>
            <w:r w:rsidR="00742A45"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  <w:r w:rsidR="007A430A" w:rsidRPr="004413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5F35E6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86:01:05</w:t>
            </w:r>
            <w:r w:rsidR="00F67439">
              <w:rPr>
                <w:rFonts w:ascii="Times New Roman" w:hAnsi="Times New Roman"/>
                <w:sz w:val="24"/>
                <w:szCs w:val="24"/>
              </w:rPr>
              <w:t>0</w:t>
            </w:r>
            <w:r w:rsidR="008869ED">
              <w:rPr>
                <w:rFonts w:ascii="Times New Roman" w:hAnsi="Times New Roman"/>
                <w:sz w:val="24"/>
                <w:szCs w:val="24"/>
              </w:rPr>
              <w:t>1</w:t>
            </w:r>
            <w:r w:rsidR="00F67439">
              <w:rPr>
                <w:rFonts w:ascii="Times New Roman" w:hAnsi="Times New Roman"/>
                <w:sz w:val="24"/>
                <w:szCs w:val="24"/>
              </w:rPr>
              <w:t>001</w:t>
            </w:r>
            <w:r w:rsidR="007A430A"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4666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5F35E6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2 869</w:t>
            </w:r>
            <w:r w:rsidR="00F7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</w:t>
            </w:r>
            <w:r w:rsidR="00F729B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м.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5F35E6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E6">
              <w:rPr>
                <w:rFonts w:ascii="Times New Roman" w:hAnsi="Times New Roman"/>
                <w:sz w:val="24"/>
                <w:szCs w:val="24"/>
              </w:rPr>
              <w:t>Земельный участо</w:t>
            </w:r>
            <w:r>
              <w:rPr>
                <w:rFonts w:ascii="Times New Roman" w:hAnsi="Times New Roman"/>
                <w:sz w:val="24"/>
                <w:szCs w:val="24"/>
              </w:rPr>
              <w:t>к с кадастровым номером 86:01:0501001:4666 частично</w:t>
            </w:r>
            <w:r w:rsidRPr="005F35E6">
              <w:rPr>
                <w:rFonts w:ascii="Times New Roman" w:hAnsi="Times New Roman"/>
                <w:sz w:val="24"/>
                <w:szCs w:val="24"/>
              </w:rPr>
              <w:t xml:space="preserve"> расположен в зоне с особыми условиями использования (ЗОУИ): </w:t>
            </w:r>
            <w:r w:rsidR="00245202">
              <w:rPr>
                <w:rFonts w:ascii="Times New Roman" w:hAnsi="Times New Roman"/>
                <w:sz w:val="24"/>
                <w:szCs w:val="24"/>
              </w:rPr>
              <w:t>о</w:t>
            </w:r>
            <w:r w:rsidR="00245202" w:rsidRPr="00245202">
              <w:rPr>
                <w:rFonts w:ascii="Times New Roman" w:hAnsi="Times New Roman"/>
                <w:sz w:val="24"/>
                <w:szCs w:val="24"/>
              </w:rPr>
              <w:t>хранная зона инженерных коммуникаций</w:t>
            </w:r>
            <w:r w:rsidRPr="005F35E6">
              <w:rPr>
                <w:rFonts w:ascii="Times New Roman" w:hAnsi="Times New Roman"/>
                <w:sz w:val="24"/>
                <w:szCs w:val="24"/>
              </w:rPr>
              <w:t>,</w:t>
            </w:r>
            <w:r w:rsidR="00245202">
              <w:t xml:space="preserve"> </w:t>
            </w:r>
            <w:r w:rsidR="00245202">
              <w:rPr>
                <w:rFonts w:ascii="Times New Roman" w:hAnsi="Times New Roman"/>
                <w:sz w:val="24"/>
                <w:szCs w:val="24"/>
              </w:rPr>
              <w:t>о</w:t>
            </w:r>
            <w:r w:rsidR="00245202" w:rsidRPr="00245202">
              <w:rPr>
                <w:rFonts w:ascii="Times New Roman" w:hAnsi="Times New Roman"/>
                <w:sz w:val="24"/>
                <w:szCs w:val="24"/>
              </w:rPr>
              <w:t>хранная зона объекта электросетевого хозяйства "Электролиния от головной подстанции до ТП № 10"</w:t>
            </w:r>
            <w:r w:rsidR="00245202">
              <w:rPr>
                <w:rFonts w:ascii="Times New Roman" w:hAnsi="Times New Roman"/>
                <w:sz w:val="24"/>
                <w:szCs w:val="24"/>
              </w:rPr>
              <w:t>,</w:t>
            </w:r>
            <w:r w:rsidRPr="005F35E6">
              <w:rPr>
                <w:rFonts w:ascii="Times New Roman" w:hAnsi="Times New Roman"/>
                <w:sz w:val="24"/>
                <w:szCs w:val="24"/>
              </w:rPr>
              <w:t xml:space="preserve"> реест</w:t>
            </w:r>
            <w:r w:rsidR="00245202">
              <w:rPr>
                <w:rFonts w:ascii="Times New Roman" w:hAnsi="Times New Roman"/>
                <w:sz w:val="24"/>
                <w:szCs w:val="24"/>
              </w:rPr>
              <w:t>ровый номер границы: 86:01-6.1222.</w:t>
            </w:r>
          </w:p>
          <w:p w:rsidR="00245202" w:rsidRDefault="00245202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202">
              <w:rPr>
                <w:rFonts w:ascii="Times New Roman" w:hAnsi="Times New Roman"/>
                <w:sz w:val="24"/>
                <w:szCs w:val="24"/>
              </w:rPr>
              <w:t>Земельный участо</w:t>
            </w:r>
            <w:r>
              <w:rPr>
                <w:rFonts w:ascii="Times New Roman" w:hAnsi="Times New Roman"/>
                <w:sz w:val="24"/>
                <w:szCs w:val="24"/>
              </w:rPr>
              <w:t>к с кадастровым номером 86:01:0501001:4666 имеет</w:t>
            </w:r>
            <w:r w:rsidRPr="00245202">
              <w:rPr>
                <w:rFonts w:ascii="Times New Roman" w:hAnsi="Times New Roman"/>
                <w:sz w:val="24"/>
                <w:szCs w:val="24"/>
              </w:rPr>
              <w:t xml:space="preserve">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</w:t>
            </w:r>
          </w:p>
          <w:p w:rsidR="00245202" w:rsidRPr="00441358" w:rsidRDefault="00245202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245202" w:rsidP="00F729B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</w:t>
            </w:r>
            <w:r w:rsidRPr="00245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РФ от 24 февраля 2009 года №160</w:t>
            </w:r>
            <w:r w:rsidRPr="00245202">
              <w:rPr>
                <w:rFonts w:ascii="Times New Roman" w:hAnsi="Times New Roman"/>
                <w:sz w:val="24"/>
                <w:szCs w:val="24"/>
              </w:rPr>
      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202" w:rsidRDefault="00245202" w:rsidP="00F729B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245202" w:rsidP="00F729B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древесины</w:t>
            </w:r>
            <w:r w:rsidR="00F729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F729B6" w:rsidRDefault="00F84CF6" w:rsidP="00F729B6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4CF6">
              <w:rPr>
                <w:rFonts w:eastAsia="Calibri"/>
                <w:szCs w:val="24"/>
                <w:lang w:eastAsia="en-US"/>
              </w:rPr>
              <w:t>Определяются градостроительным планом земельного участка</w:t>
            </w:r>
            <w:r>
              <w:rPr>
                <w:rFonts w:eastAsia="Calibri"/>
                <w:szCs w:val="24"/>
                <w:lang w:eastAsia="en-US"/>
              </w:rPr>
              <w:t>.</w:t>
            </w:r>
          </w:p>
          <w:p w:rsidR="00F84CF6" w:rsidRPr="00F84CF6" w:rsidRDefault="00F84CF6" w:rsidP="00F84CF6">
            <w:pPr>
              <w:shd w:val="clear" w:color="auto" w:fill="FFFFFF"/>
              <w:jc w:val="both"/>
              <w:rPr>
                <w:szCs w:val="24"/>
              </w:rPr>
            </w:pPr>
          </w:p>
          <w:p w:rsidR="00F84CF6" w:rsidRDefault="00F84CF6" w:rsidP="00F84CF6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     Условия подключения (технологического присоединения) к сетям электроснабжения АО «ЮРЭСК»: возможно</w:t>
            </w:r>
            <w:r>
              <w:rPr>
                <w:szCs w:val="24"/>
              </w:rPr>
              <w:t xml:space="preserve"> от воздушной линии 10 кВ ф. Нижний склад.</w:t>
            </w:r>
          </w:p>
          <w:p w:rsidR="00F84CF6" w:rsidRPr="00F84CF6" w:rsidRDefault="00F84CF6" w:rsidP="00F84CF6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 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F84CF6" w:rsidRPr="00F84CF6" w:rsidRDefault="00F84CF6" w:rsidP="00F84CF6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 xml:space="preserve">     Условия подключения (технологического присоединения) к сетям теплоснабжения, водоснабжения и водоотведения: присоединение объектов капитального строительства невозможно в связи с отсутствием данных сетей в этом районе.</w:t>
            </w:r>
          </w:p>
          <w:p w:rsidR="00F84CF6" w:rsidRPr="00F84CF6" w:rsidRDefault="00F84CF6" w:rsidP="00F84CF6">
            <w:pPr>
              <w:shd w:val="clear" w:color="auto" w:fill="FFFFFF"/>
              <w:jc w:val="both"/>
              <w:rPr>
                <w:szCs w:val="24"/>
              </w:rPr>
            </w:pPr>
          </w:p>
          <w:p w:rsidR="007A430A" w:rsidRPr="00441358" w:rsidRDefault="00F84CF6" w:rsidP="00F84CF6">
            <w:pPr>
              <w:shd w:val="clear" w:color="auto" w:fill="FFFFFF"/>
              <w:jc w:val="both"/>
              <w:rPr>
                <w:szCs w:val="24"/>
              </w:rPr>
            </w:pPr>
            <w:r w:rsidRPr="00F84CF6">
              <w:rPr>
                <w:szCs w:val="24"/>
              </w:rPr>
              <w:t>Плата за технологическое присоединение к инженерно-техническим сетям определяется по тарифам, установленным на момент присоединения.</w:t>
            </w:r>
          </w:p>
          <w:p w:rsidR="005449DA" w:rsidRPr="00441358" w:rsidRDefault="005449DA" w:rsidP="00A91720">
            <w:pPr>
              <w:jc w:val="both"/>
              <w:rPr>
                <w:szCs w:val="24"/>
              </w:rPr>
            </w:pPr>
          </w:p>
          <w:p w:rsidR="008869ED" w:rsidRDefault="00F84CF6" w:rsidP="00A91720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37 70</w:t>
            </w:r>
            <w:r w:rsidR="005449DA">
              <w:rPr>
                <w:b/>
                <w:szCs w:val="24"/>
              </w:rPr>
              <w:t>0,00</w:t>
            </w:r>
            <w:r w:rsidR="00F7360B">
              <w:rPr>
                <w:b/>
                <w:szCs w:val="24"/>
              </w:rPr>
              <w:t xml:space="preserve"> </w:t>
            </w:r>
            <w:r w:rsidR="007A430A" w:rsidRPr="00441358">
              <w:rPr>
                <w:spacing w:val="7"/>
                <w:szCs w:val="24"/>
              </w:rPr>
              <w:t>(</w:t>
            </w:r>
            <w:r w:rsidR="0070369F">
              <w:rPr>
                <w:spacing w:val="7"/>
                <w:szCs w:val="24"/>
              </w:rPr>
              <w:t>три</w:t>
            </w:r>
            <w:r w:rsidR="005449DA">
              <w:rPr>
                <w:spacing w:val="7"/>
                <w:szCs w:val="24"/>
              </w:rPr>
              <w:t>дцать</w:t>
            </w:r>
            <w:r>
              <w:rPr>
                <w:spacing w:val="7"/>
                <w:szCs w:val="24"/>
              </w:rPr>
              <w:t xml:space="preserve"> семь тысяч семьсот руб.</w:t>
            </w:r>
            <w:r w:rsidR="00F7360B">
              <w:rPr>
                <w:spacing w:val="7"/>
                <w:szCs w:val="24"/>
              </w:rPr>
              <w:t xml:space="preserve"> </w:t>
            </w:r>
            <w:r w:rsidR="005449DA">
              <w:rPr>
                <w:spacing w:val="7"/>
                <w:szCs w:val="24"/>
              </w:rPr>
              <w:t>00</w:t>
            </w:r>
            <w:r w:rsidR="007A430A" w:rsidRPr="00441358">
              <w:rPr>
                <w:spacing w:val="7"/>
                <w:szCs w:val="24"/>
              </w:rPr>
              <w:t xml:space="preserve"> коп.) ру</w:t>
            </w:r>
            <w:r w:rsidR="005449DA">
              <w:rPr>
                <w:spacing w:val="-4"/>
                <w:szCs w:val="24"/>
              </w:rPr>
              <w:t>блей без учета НДС</w:t>
            </w:r>
            <w:r w:rsidR="008869ED" w:rsidRPr="00100BFE">
              <w:rPr>
                <w:spacing w:val="-4"/>
                <w:szCs w:val="24"/>
              </w:rPr>
              <w:t>. Начальный размер арендной платы установлен</w:t>
            </w:r>
            <w:r w:rsidR="005449DA">
              <w:rPr>
                <w:spacing w:val="-4"/>
                <w:szCs w:val="24"/>
              </w:rPr>
              <w:t xml:space="preserve"> в соответствии с </w:t>
            </w:r>
            <w:r>
              <w:rPr>
                <w:spacing w:val="-4"/>
                <w:szCs w:val="24"/>
              </w:rPr>
              <w:t>отчетом об оценке от 30 августа 2021 года №</w:t>
            </w:r>
            <w:r w:rsidR="00414312">
              <w:rPr>
                <w:spacing w:val="-4"/>
                <w:szCs w:val="24"/>
              </w:rPr>
              <w:t xml:space="preserve"> </w:t>
            </w:r>
            <w:r>
              <w:rPr>
                <w:spacing w:val="-4"/>
                <w:szCs w:val="24"/>
              </w:rPr>
              <w:t>4910/21.</w:t>
            </w:r>
          </w:p>
          <w:p w:rsidR="00F84CF6" w:rsidRPr="00441358" w:rsidRDefault="00F84CF6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70369F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449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4C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869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449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449DA">
              <w:rPr>
                <w:rFonts w:ascii="Times New Roman" w:hAnsi="Times New Roman"/>
                <w:sz w:val="24"/>
                <w:szCs w:val="24"/>
              </w:rPr>
              <w:t>семь тысяч</w:t>
            </w:r>
            <w:r w:rsidR="00F7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CF6">
              <w:rPr>
                <w:rFonts w:ascii="Times New Roman" w:hAnsi="Times New Roman"/>
                <w:sz w:val="24"/>
                <w:szCs w:val="24"/>
              </w:rPr>
              <w:t>шестьсот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5449DA" w:rsidRDefault="0070369F" w:rsidP="005449D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49DA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A430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5449DA">
              <w:rPr>
                <w:rFonts w:ascii="Times New Roman" w:hAnsi="Times New Roman"/>
                <w:sz w:val="24"/>
                <w:szCs w:val="24"/>
              </w:rPr>
              <w:t xml:space="preserve"> (одна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9DA">
              <w:rPr>
                <w:rFonts w:ascii="Times New Roman" w:hAnsi="Times New Roman"/>
                <w:sz w:val="24"/>
                <w:szCs w:val="24"/>
              </w:rPr>
              <w:t xml:space="preserve">тысяча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A430A" w:rsidRPr="00414312" w:rsidRDefault="00F84CF6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14312">
              <w:rPr>
                <w:bCs/>
                <w:szCs w:val="24"/>
              </w:rPr>
              <w:t>30 месяцев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84E58" w:rsidRPr="0087315D" w:rsidRDefault="0070369F" w:rsidP="004E56D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с </w:t>
            </w:r>
            <w:r w:rsidR="00F84CF6" w:rsidRPr="00414312">
              <w:rPr>
                <w:szCs w:val="24"/>
              </w:rPr>
              <w:t>08</w:t>
            </w:r>
            <w:r w:rsidR="00472EDA" w:rsidRPr="00414312">
              <w:rPr>
                <w:szCs w:val="24"/>
              </w:rPr>
              <w:t xml:space="preserve"> </w:t>
            </w:r>
            <w:r w:rsidR="00F84CF6" w:rsidRPr="00414312">
              <w:rPr>
                <w:szCs w:val="24"/>
              </w:rPr>
              <w:t>ноября</w:t>
            </w:r>
            <w:r w:rsidR="00472EDA" w:rsidRPr="00414312">
              <w:rPr>
                <w:szCs w:val="24"/>
              </w:rPr>
              <w:t xml:space="preserve"> 202</w:t>
            </w:r>
            <w:r w:rsidR="004E56DB" w:rsidRPr="00414312">
              <w:rPr>
                <w:szCs w:val="24"/>
              </w:rPr>
              <w:t>1</w:t>
            </w:r>
            <w:r w:rsidR="005449DA" w:rsidRPr="00414312">
              <w:rPr>
                <w:szCs w:val="24"/>
              </w:rPr>
              <w:t xml:space="preserve"> года</w:t>
            </w:r>
            <w:r w:rsidR="00472EDA" w:rsidRPr="00414312">
              <w:rPr>
                <w:szCs w:val="24"/>
              </w:rPr>
              <w:t xml:space="preserve"> по </w:t>
            </w:r>
            <w:r w:rsidR="00F84CF6" w:rsidRPr="00414312">
              <w:rPr>
                <w:szCs w:val="24"/>
              </w:rPr>
              <w:t>12 ноября</w:t>
            </w:r>
            <w:r w:rsidR="004E56DB" w:rsidRPr="00414312">
              <w:rPr>
                <w:szCs w:val="24"/>
              </w:rPr>
              <w:t xml:space="preserve"> 2021 года</w:t>
            </w:r>
            <w:r w:rsidR="004E56DB" w:rsidRPr="00472EDA">
              <w:rPr>
                <w:color w:val="000000" w:themeColor="text1"/>
                <w:szCs w:val="24"/>
              </w:rPr>
              <w:t xml:space="preserve"> </w:t>
            </w:r>
            <w:r w:rsidRPr="00100BFE">
              <w:rPr>
                <w:szCs w:val="24"/>
              </w:rPr>
              <w:t>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14312">
              <w:rPr>
                <w:b/>
                <w:szCs w:val="24"/>
              </w:rPr>
              <w:t xml:space="preserve">с </w:t>
            </w:r>
            <w:r w:rsidR="00F84CF6" w:rsidRPr="00414312">
              <w:rPr>
                <w:b/>
                <w:szCs w:val="24"/>
              </w:rPr>
              <w:t>22</w:t>
            </w:r>
            <w:r w:rsidR="00C860D9" w:rsidRPr="00414312">
              <w:rPr>
                <w:b/>
                <w:szCs w:val="24"/>
              </w:rPr>
              <w:t xml:space="preserve"> </w:t>
            </w:r>
            <w:r w:rsidR="00F84CF6" w:rsidRPr="00414312">
              <w:rPr>
                <w:b/>
                <w:szCs w:val="24"/>
              </w:rPr>
              <w:t>октября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>по адресу: ул. Путейская, д.10, пгт. Мортка, Кондинский район, Ханты-</w:t>
            </w:r>
            <w:r w:rsidRPr="00441358">
              <w:rPr>
                <w:szCs w:val="24"/>
              </w:rPr>
              <w:lastRenderedPageBreak/>
              <w:t xml:space="preserve">Мансийский автономный округ – Югра, Тюменская область. Срок окончания приема заявок </w:t>
            </w:r>
            <w:r w:rsidR="00EB6696" w:rsidRPr="00414312">
              <w:rPr>
                <w:b/>
                <w:szCs w:val="24"/>
              </w:rPr>
              <w:t>22</w:t>
            </w:r>
            <w:r w:rsidR="00C860D9" w:rsidRPr="00414312">
              <w:rPr>
                <w:b/>
                <w:szCs w:val="24"/>
              </w:rPr>
              <w:t xml:space="preserve"> </w:t>
            </w:r>
            <w:r w:rsidR="00F84CF6" w:rsidRPr="00414312">
              <w:rPr>
                <w:b/>
                <w:szCs w:val="24"/>
              </w:rPr>
              <w:t>ноября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917620">
              <w:rPr>
                <w:b/>
                <w:color w:val="000000" w:themeColor="text1"/>
                <w:szCs w:val="24"/>
              </w:rPr>
              <w:t>1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EB6696" w:rsidRPr="00414312">
              <w:rPr>
                <w:b/>
              </w:rPr>
              <w:t>23</w:t>
            </w:r>
            <w:r w:rsidR="00472EDA" w:rsidRPr="00414312">
              <w:rPr>
                <w:b/>
              </w:rPr>
              <w:t xml:space="preserve"> </w:t>
            </w:r>
            <w:r w:rsidR="00F84CF6" w:rsidRPr="00414312">
              <w:rPr>
                <w:b/>
              </w:rPr>
              <w:t>ноября</w:t>
            </w:r>
            <w:r w:rsidR="00472EDA" w:rsidRPr="00472EDA">
              <w:rPr>
                <w:b/>
                <w:color w:val="000000" w:themeColor="text1"/>
              </w:rPr>
              <w:t xml:space="preserve"> 202</w:t>
            </w:r>
            <w:r w:rsidR="00917620">
              <w:rPr>
                <w:b/>
                <w:color w:val="000000" w:themeColor="text1"/>
              </w:rPr>
              <w:t>1</w:t>
            </w:r>
            <w:r w:rsidR="00472EDA" w:rsidRPr="00472EDA">
              <w:rPr>
                <w:b/>
                <w:color w:val="000000" w:themeColor="text1"/>
              </w:rPr>
              <w:t xml:space="preserve">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414312" w:rsidRPr="00C860D9" w:rsidRDefault="00414312" w:rsidP="00414312">
            <w:pPr>
              <w:ind w:firstLine="20"/>
              <w:jc w:val="both"/>
              <w:rPr>
                <w:b/>
                <w:szCs w:val="24"/>
              </w:rPr>
            </w:pPr>
            <w:r w:rsidRPr="00B02242">
              <w:rPr>
                <w:b/>
                <w:szCs w:val="24"/>
              </w:rPr>
              <w:t>РКЦ Ханты-Мансийск//УФК</w:t>
            </w:r>
            <w:r w:rsidRPr="00C860D9">
              <w:rPr>
                <w:b/>
                <w:szCs w:val="24"/>
              </w:rPr>
              <w:t xml:space="preserve"> по Ханты-Мансийскому автономному округу – Югре (Администрация городского поселения Мортка </w:t>
            </w:r>
            <w:r w:rsidRPr="00923FA5">
              <w:rPr>
                <w:b/>
                <w:szCs w:val="24"/>
              </w:rPr>
              <w:t>05873032830</w:t>
            </w:r>
            <w:r w:rsidRPr="00C860D9">
              <w:rPr>
                <w:b/>
                <w:szCs w:val="24"/>
              </w:rPr>
              <w:t xml:space="preserve">), г. Ханты-Мансийск, БИК </w:t>
            </w:r>
            <w:r w:rsidRPr="00923FA5">
              <w:rPr>
                <w:b/>
                <w:szCs w:val="24"/>
              </w:rPr>
              <w:t>007162163,</w:t>
            </w:r>
            <w:r w:rsidRPr="00C860D9">
              <w:rPr>
                <w:b/>
                <w:szCs w:val="24"/>
              </w:rPr>
              <w:t xml:space="preserve"> ОКТМО </w:t>
            </w:r>
            <w:r w:rsidRPr="00923FA5">
              <w:rPr>
                <w:b/>
                <w:szCs w:val="24"/>
              </w:rPr>
              <w:t>71816163</w:t>
            </w:r>
            <w:r w:rsidRPr="00C860D9">
              <w:rPr>
                <w:b/>
                <w:szCs w:val="24"/>
              </w:rPr>
              <w:t xml:space="preserve">, ИНН 8616008570, КПП </w:t>
            </w:r>
            <w:r w:rsidRPr="00B02242">
              <w:rPr>
                <w:b/>
                <w:szCs w:val="24"/>
              </w:rPr>
              <w:t>861601001</w:t>
            </w:r>
            <w:r w:rsidRPr="00C860D9">
              <w:rPr>
                <w:b/>
                <w:szCs w:val="24"/>
              </w:rPr>
              <w:t xml:space="preserve">, ОКПО 78217060 ОКВЭД </w:t>
            </w:r>
            <w:r w:rsidRPr="004E56DB">
              <w:rPr>
                <w:b/>
                <w:szCs w:val="24"/>
              </w:rPr>
              <w:t>84.11.34,</w:t>
            </w:r>
            <w:r w:rsidRPr="00C860D9">
              <w:rPr>
                <w:b/>
                <w:szCs w:val="24"/>
              </w:rPr>
              <w:t xml:space="preserve"> лицевой счет </w:t>
            </w:r>
            <w:r w:rsidRPr="00923FA5">
              <w:rPr>
                <w:b/>
                <w:szCs w:val="24"/>
              </w:rPr>
              <w:t>05873032830</w:t>
            </w:r>
            <w:r w:rsidRPr="00C860D9">
              <w:rPr>
                <w:b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A5E25">
              <w:rPr>
                <w:b/>
                <w:szCs w:val="24"/>
              </w:rPr>
              <w:t>единый казначейский счет</w:t>
            </w:r>
            <w:r>
              <w:rPr>
                <w:b/>
                <w:szCs w:val="24"/>
              </w:rPr>
              <w:t xml:space="preserve"> </w:t>
            </w:r>
            <w:r w:rsidRPr="004A5E25">
              <w:rPr>
                <w:b/>
                <w:szCs w:val="24"/>
              </w:rPr>
              <w:t>40102810245370000007</w:t>
            </w:r>
            <w:r>
              <w:rPr>
                <w:b/>
                <w:szCs w:val="24"/>
              </w:rPr>
              <w:t xml:space="preserve">,  </w:t>
            </w:r>
            <w:r w:rsidRPr="00C860D9">
              <w:rPr>
                <w:b/>
                <w:szCs w:val="24"/>
              </w:rPr>
              <w:t xml:space="preserve"> </w:t>
            </w:r>
            <w:r w:rsidRPr="004A5E25">
              <w:rPr>
                <w:b/>
                <w:szCs w:val="24"/>
              </w:rPr>
              <w:t>казначейский счет 03232643718161638700</w:t>
            </w:r>
            <w:r w:rsidRPr="00C860D9">
              <w:rPr>
                <w:b/>
                <w:szCs w:val="24"/>
              </w:rPr>
              <w:t xml:space="preserve">, ОГРН </w:t>
            </w:r>
            <w:r w:rsidRPr="00923FA5">
              <w:rPr>
                <w:b/>
                <w:szCs w:val="24"/>
              </w:rPr>
              <w:t>1058600122041</w:t>
            </w:r>
            <w:r w:rsidRPr="00C860D9">
              <w:rPr>
                <w:b/>
                <w:szCs w:val="24"/>
              </w:rPr>
              <w:t>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Назначение платежа: Задаток </w:t>
            </w:r>
            <w:r w:rsidR="00EB6696">
              <w:rPr>
                <w:szCs w:val="24"/>
              </w:rPr>
              <w:t>за участие в аукционе на право заключения</w:t>
            </w:r>
            <w:r w:rsidRPr="00441358">
              <w:rPr>
                <w:szCs w:val="24"/>
              </w:rPr>
              <w:t xml:space="preserve">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Данное извещение о</w:t>
            </w:r>
            <w:r w:rsidR="00EB6696">
              <w:rPr>
                <w:szCs w:val="24"/>
              </w:rPr>
              <w:t xml:space="preserve"> проведении аукциона на право  заключения</w:t>
            </w:r>
            <w:r w:rsidRPr="00441358">
              <w:rPr>
                <w:szCs w:val="24"/>
              </w:rPr>
              <w:t xml:space="preserve">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</w:t>
            </w:r>
            <w:r w:rsidRPr="00441358">
              <w:rPr>
                <w:szCs w:val="24"/>
              </w:rPr>
              <w:lastRenderedPageBreak/>
              <w:t>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lastRenderedPageBreak/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F33FCB" w:rsidRDefault="00F33FCB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F84CF6" w:rsidRDefault="00F84CF6" w:rsidP="001C4CE7">
      <w:pPr>
        <w:spacing w:line="216" w:lineRule="auto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974BFD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личностьзаявителя(для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EC25F4" w:rsidRDefault="00EC25F4" w:rsidP="00D92676">
      <w:pPr>
        <w:shd w:val="clear" w:color="auto" w:fill="FFFFFF"/>
        <w:tabs>
          <w:tab w:val="left" w:pos="238"/>
        </w:tabs>
        <w:jc w:val="both"/>
      </w:pPr>
    </w:p>
    <w:p w:rsidR="00F84CF6" w:rsidRDefault="00F84CF6" w:rsidP="00D92676">
      <w:pPr>
        <w:shd w:val="clear" w:color="auto" w:fill="FFFFFF"/>
        <w:tabs>
          <w:tab w:val="left" w:pos="238"/>
        </w:tabs>
        <w:jc w:val="both"/>
      </w:pPr>
    </w:p>
    <w:p w:rsidR="00F84CF6" w:rsidRDefault="00F84CF6" w:rsidP="00D92676">
      <w:pPr>
        <w:shd w:val="clear" w:color="auto" w:fill="FFFFFF"/>
        <w:tabs>
          <w:tab w:val="left" w:pos="238"/>
        </w:tabs>
        <w:jc w:val="both"/>
      </w:pPr>
    </w:p>
    <w:p w:rsidR="00F84CF6" w:rsidRDefault="00F84CF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B6696" w:rsidRDefault="00EB669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="00EB6696">
        <w:rPr>
          <w:color w:val="000000"/>
          <w:szCs w:val="24"/>
        </w:rPr>
        <w:t xml:space="preserve">                                                                                   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 w:rsidR="00EB6696"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</w:t>
      </w:r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lastRenderedPageBreak/>
        <w:t>С</w:t>
      </w:r>
      <w:r w:rsidR="00DD7A87">
        <w:rPr>
          <w:szCs w:val="24"/>
        </w:rPr>
        <w:t xml:space="preserve"> письменного согласия</w:t>
      </w:r>
      <w:r w:rsidRPr="00520349">
        <w:rPr>
          <w:szCs w:val="24"/>
        </w:rPr>
        <w:t xml:space="preserve"> Арендодателя </w:t>
      </w:r>
      <w:r w:rsidR="00DD7A87">
        <w:rPr>
          <w:szCs w:val="24"/>
        </w:rPr>
        <w:t>сдавать земельный участок в субаренду в пределах срока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Pr="00520349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DD7A87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D7A87" w:rsidRPr="00DD7A87" w:rsidRDefault="00DD7A87" w:rsidP="00DD7A87">
      <w:pPr>
        <w:pStyle w:val="af2"/>
        <w:numPr>
          <w:ilvl w:val="1"/>
          <w:numId w:val="13"/>
        </w:numPr>
        <w:ind w:left="0" w:firstLine="360"/>
        <w:jc w:val="both"/>
        <w:rPr>
          <w:szCs w:val="24"/>
        </w:rPr>
      </w:pPr>
      <w:r w:rsidRPr="00DD7A87"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</w:t>
      </w:r>
      <w:r w:rsidRPr="00DD7A87">
        <w:rPr>
          <w:szCs w:val="24"/>
        </w:rPr>
        <w:lastRenderedPageBreak/>
        <w:t>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974BFD" w:rsidRPr="00EB6696" w:rsidRDefault="00D92676" w:rsidP="00EB669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974BFD" w:rsidRPr="00EB6696" w:rsidRDefault="00D92676" w:rsidP="00EB669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974BFD" w:rsidRPr="00EB6696" w:rsidRDefault="00D92676" w:rsidP="00EB669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tbl>
      <w:tblPr>
        <w:tblpPr w:leftFromText="180" w:rightFromText="180" w:vertAnchor="text" w:horzAnchor="margin" w:tblpY="303"/>
        <w:tblW w:w="9922" w:type="dxa"/>
        <w:tblLook w:val="04A0"/>
      </w:tblPr>
      <w:tblGrid>
        <w:gridCol w:w="5103"/>
        <w:gridCol w:w="4819"/>
      </w:tblGrid>
      <w:tr w:rsidR="00DD7A87" w:rsidRPr="00520349" w:rsidTr="00DD7A87">
        <w:tc>
          <w:tcPr>
            <w:tcW w:w="5103" w:type="dxa"/>
            <w:shd w:val="clear" w:color="auto" w:fill="auto"/>
          </w:tcPr>
          <w:p w:rsidR="00DD7A87" w:rsidRPr="00520349" w:rsidRDefault="00DD7A87" w:rsidP="00DD7A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D7A87" w:rsidRPr="00520349" w:rsidRDefault="00DD7A87" w:rsidP="00DD7A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D92676" w:rsidRPr="00DD7A87" w:rsidRDefault="00D92676" w:rsidP="00DD7A87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  <w:bookmarkStart w:id="0" w:name="_GoBack"/>
      <w:bookmarkEnd w:id="0"/>
    </w:p>
    <w:sectPr w:rsidR="00D92676" w:rsidRPr="00DD7A87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09" w:rsidRDefault="002F3109" w:rsidP="00B033CA">
      <w:r>
        <w:separator/>
      </w:r>
    </w:p>
  </w:endnote>
  <w:endnote w:type="continuationSeparator" w:id="0">
    <w:p w:rsidR="002F3109" w:rsidRDefault="002F3109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DA" w:rsidRDefault="00DC3032">
    <w:pPr>
      <w:pStyle w:val="ad"/>
      <w:jc w:val="center"/>
    </w:pPr>
    <w:r>
      <w:fldChar w:fldCharType="begin"/>
    </w:r>
    <w:r w:rsidR="005449DA">
      <w:instrText xml:space="preserve"> PAGE   \* MERGEFORMAT </w:instrText>
    </w:r>
    <w:r>
      <w:fldChar w:fldCharType="separate"/>
    </w:r>
    <w:r w:rsidR="00414312">
      <w:rPr>
        <w:noProof/>
      </w:rPr>
      <w:t>1</w:t>
    </w:r>
    <w:r>
      <w:rPr>
        <w:noProof/>
      </w:rPr>
      <w:fldChar w:fldCharType="end"/>
    </w:r>
  </w:p>
  <w:p w:rsidR="005449DA" w:rsidRDefault="005449D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09" w:rsidRDefault="002F3109" w:rsidP="00B033CA">
      <w:r>
        <w:separator/>
      </w:r>
    </w:p>
  </w:footnote>
  <w:footnote w:type="continuationSeparator" w:id="0">
    <w:p w:rsidR="002F3109" w:rsidRDefault="002F3109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2FC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5B94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45202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09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4312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0C39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49DA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5DAC"/>
    <w:rsid w:val="005760EA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35E6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2A45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574DC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A68"/>
    <w:rsid w:val="00A4264D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1C7C"/>
    <w:rsid w:val="00B92E16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59AF"/>
    <w:rsid w:val="00DB28A9"/>
    <w:rsid w:val="00DB2966"/>
    <w:rsid w:val="00DB29F1"/>
    <w:rsid w:val="00DB306F"/>
    <w:rsid w:val="00DB4E00"/>
    <w:rsid w:val="00DC0CA9"/>
    <w:rsid w:val="00DC18C3"/>
    <w:rsid w:val="00DC3032"/>
    <w:rsid w:val="00DC30D5"/>
    <w:rsid w:val="00DC52DE"/>
    <w:rsid w:val="00DC6017"/>
    <w:rsid w:val="00DD04DE"/>
    <w:rsid w:val="00DD668D"/>
    <w:rsid w:val="00DD7A87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696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29B6"/>
    <w:rsid w:val="00F7360B"/>
    <w:rsid w:val="00F77315"/>
    <w:rsid w:val="00F84CF6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DD7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0D6C-4326-4BCB-B48A-DE9128BE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24373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4</cp:revision>
  <cp:lastPrinted>2021-10-21T05:28:00Z</cp:lastPrinted>
  <dcterms:created xsi:type="dcterms:W3CDTF">2021-10-19T10:12:00Z</dcterms:created>
  <dcterms:modified xsi:type="dcterms:W3CDTF">2021-10-21T08:52:00Z</dcterms:modified>
</cp:coreProperties>
</file>