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16155D">
        <w:rPr>
          <w:sz w:val="28"/>
          <w:szCs w:val="28"/>
        </w:rPr>
        <w:t>1</w:t>
      </w:r>
      <w:r w:rsidR="0034320A">
        <w:rPr>
          <w:sz w:val="28"/>
          <w:szCs w:val="28"/>
        </w:rPr>
        <w:t>2</w:t>
      </w:r>
      <w:r w:rsidR="0016155D">
        <w:rPr>
          <w:sz w:val="28"/>
          <w:szCs w:val="28"/>
        </w:rPr>
        <w:t xml:space="preserve"> января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16155D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="0016155D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34320A">
        <w:rPr>
          <w:sz w:val="28"/>
          <w:szCs w:val="28"/>
        </w:rPr>
        <w:t>3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790245" w:rsidRPr="0034320A" w:rsidRDefault="0034320A" w:rsidP="007902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мерах стимулирования добровольной вакцинации от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– </w:t>
      </w:r>
      <w:r w:rsidRPr="0034320A">
        <w:rPr>
          <w:sz w:val="28"/>
          <w:szCs w:val="28"/>
        </w:rPr>
        <w:t>19)</w:t>
      </w:r>
    </w:p>
    <w:p w:rsidR="00A8643D" w:rsidRDefault="00A8643D" w:rsidP="00A8643D">
      <w:pPr>
        <w:rPr>
          <w:b/>
          <w:sz w:val="28"/>
          <w:szCs w:val="28"/>
        </w:rPr>
      </w:pPr>
    </w:p>
    <w:p w:rsidR="00A8643D" w:rsidRPr="00790245" w:rsidRDefault="00A8643D" w:rsidP="00790245">
      <w:pPr>
        <w:suppressAutoHyphens/>
        <w:ind w:firstLine="851"/>
        <w:rPr>
          <w:sz w:val="28"/>
          <w:szCs w:val="28"/>
        </w:rPr>
      </w:pP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90245">
        <w:rPr>
          <w:sz w:val="28"/>
          <w:szCs w:val="28"/>
        </w:rPr>
        <w:t xml:space="preserve">В целях </w:t>
      </w:r>
      <w:r w:rsidR="0034320A">
        <w:rPr>
          <w:sz w:val="28"/>
          <w:szCs w:val="28"/>
        </w:rPr>
        <w:t>стимулирования добровольной вакцинации от новой коронавирусной инфекции</w:t>
      </w:r>
      <w:r w:rsidR="00AF4C56">
        <w:rPr>
          <w:sz w:val="28"/>
          <w:szCs w:val="28"/>
        </w:rPr>
        <w:t xml:space="preserve"> (</w:t>
      </w:r>
      <w:r w:rsidR="00AF4C56">
        <w:rPr>
          <w:sz w:val="28"/>
          <w:szCs w:val="28"/>
          <w:lang w:val="en-US"/>
        </w:rPr>
        <w:t>COVID</w:t>
      </w:r>
      <w:r w:rsidR="00AF4C56">
        <w:rPr>
          <w:sz w:val="28"/>
          <w:szCs w:val="28"/>
        </w:rPr>
        <w:t xml:space="preserve"> – </w:t>
      </w:r>
      <w:r w:rsidR="00AF4C56" w:rsidRPr="0034320A">
        <w:rPr>
          <w:sz w:val="28"/>
          <w:szCs w:val="28"/>
        </w:rPr>
        <w:t>19)</w:t>
      </w:r>
      <w:r w:rsidR="00AF4C56">
        <w:rPr>
          <w:sz w:val="28"/>
          <w:szCs w:val="28"/>
        </w:rPr>
        <w:t>, руководствуясь Постановлением Губернатора Ханты – Мансийского автономного округа – Югры от 14 июня</w:t>
      </w:r>
      <w:r w:rsidR="00A52DC8">
        <w:rPr>
          <w:sz w:val="28"/>
          <w:szCs w:val="28"/>
        </w:rPr>
        <w:t xml:space="preserve">                   </w:t>
      </w:r>
      <w:r w:rsidR="00AF4C56">
        <w:rPr>
          <w:sz w:val="28"/>
          <w:szCs w:val="28"/>
        </w:rPr>
        <w:t xml:space="preserve"> 2021 года № 83 «О мерах по предотвращению завоза и распространения новой коронавирусной инфекции, вызванной </w:t>
      </w:r>
      <w:r w:rsidR="00AF4C56">
        <w:rPr>
          <w:sz w:val="28"/>
          <w:szCs w:val="28"/>
          <w:lang w:val="en-US"/>
        </w:rPr>
        <w:t>COVID</w:t>
      </w:r>
      <w:r w:rsidR="00AF4C56">
        <w:rPr>
          <w:sz w:val="28"/>
          <w:szCs w:val="28"/>
        </w:rPr>
        <w:t xml:space="preserve"> – 19, в Ханты – Мансийском автономном округе – Югре, во исполнение пункта 2.2.2. решения № 2021/4 трехсторонней комиссии Ханты – Мансийского автономного округа – Югры по регулированию</w:t>
      </w:r>
      <w:proofErr w:type="gramEnd"/>
      <w:r w:rsidR="00AF4C56">
        <w:rPr>
          <w:sz w:val="28"/>
          <w:szCs w:val="28"/>
        </w:rPr>
        <w:t xml:space="preserve"> социально – трудовых отношений от 17 ноября 2021 года, рекомендаций работодателям по предоставлению работникам, проходящим вакцинацию </w:t>
      </w:r>
      <w:r w:rsidR="009A3160">
        <w:rPr>
          <w:sz w:val="28"/>
          <w:szCs w:val="28"/>
        </w:rPr>
        <w:t>против новой коронавирусной инфекции, двух оплачиваемых дополнительных дней отдыха, утвержденных решением Российской трехсторонней комиссией по регулированию социально – трудовых отношений                  от 29 октября 2021 года (протокол № 9):</w:t>
      </w:r>
      <w:r w:rsidR="00AF4C56">
        <w:rPr>
          <w:sz w:val="28"/>
          <w:szCs w:val="28"/>
        </w:rPr>
        <w:t xml:space="preserve">  </w:t>
      </w:r>
    </w:p>
    <w:p w:rsidR="00DB1BA9" w:rsidRPr="00DB1BA9" w:rsidRDefault="009A3160" w:rsidP="00DB1BA9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B1BA9">
        <w:rPr>
          <w:sz w:val="28"/>
          <w:szCs w:val="28"/>
        </w:rPr>
        <w:t>Предостав</w:t>
      </w:r>
      <w:r w:rsidR="00DB1BA9" w:rsidRPr="00DB1BA9">
        <w:rPr>
          <w:sz w:val="28"/>
          <w:szCs w:val="28"/>
        </w:rPr>
        <w:t>лять</w:t>
      </w:r>
      <w:r w:rsidRPr="00DB1BA9">
        <w:rPr>
          <w:sz w:val="28"/>
          <w:szCs w:val="28"/>
        </w:rPr>
        <w:t xml:space="preserve"> работникам администрации сельского поселения Болчары</w:t>
      </w:r>
      <w:r w:rsidR="00DB1BA9" w:rsidRPr="00DB1BA9">
        <w:rPr>
          <w:sz w:val="28"/>
          <w:szCs w:val="28"/>
        </w:rPr>
        <w:t>, проходящим вакцинацию от новой коронавирусной инфекции (</w:t>
      </w:r>
      <w:r w:rsidR="00DB1BA9" w:rsidRPr="00DB1BA9">
        <w:rPr>
          <w:sz w:val="28"/>
          <w:szCs w:val="28"/>
          <w:lang w:val="en-US"/>
        </w:rPr>
        <w:t>COVID</w:t>
      </w:r>
      <w:r w:rsidR="00DB1BA9" w:rsidRPr="00DB1BA9">
        <w:rPr>
          <w:sz w:val="28"/>
          <w:szCs w:val="28"/>
        </w:rPr>
        <w:t xml:space="preserve"> – 19), два оплачиваемых дня отдыха.</w:t>
      </w:r>
    </w:p>
    <w:p w:rsidR="00790245" w:rsidRPr="00DB1BA9" w:rsidRDefault="00DB1BA9" w:rsidP="00DB1BA9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Оплачиваемые дни отдыха </w:t>
      </w:r>
      <w:r w:rsidR="00A52DC8">
        <w:rPr>
          <w:sz w:val="28"/>
          <w:szCs w:val="28"/>
        </w:rPr>
        <w:t xml:space="preserve">предоставляются по письменному заявлению работника при предоставлении справки медицинской организации, подтверждающей прохождение вакцинации.  </w:t>
      </w:r>
      <w:r>
        <w:rPr>
          <w:sz w:val="28"/>
          <w:szCs w:val="28"/>
        </w:rPr>
        <w:t xml:space="preserve"> </w:t>
      </w:r>
      <w:r w:rsidRPr="00DB1BA9">
        <w:rPr>
          <w:sz w:val="28"/>
          <w:szCs w:val="28"/>
        </w:rPr>
        <w:t xml:space="preserve"> </w:t>
      </w:r>
      <w:r w:rsidR="009A3160" w:rsidRPr="00DB1BA9">
        <w:rPr>
          <w:sz w:val="28"/>
          <w:szCs w:val="28"/>
        </w:rPr>
        <w:t xml:space="preserve"> </w:t>
      </w:r>
    </w:p>
    <w:p w:rsidR="00790245" w:rsidRPr="00790245" w:rsidRDefault="00A52DC8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момента подписания.</w:t>
      </w:r>
    </w:p>
    <w:p w:rsidR="00790245" w:rsidRPr="00790245" w:rsidRDefault="00A52DC8" w:rsidP="009A316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0245" w:rsidRPr="00790245">
        <w:rPr>
          <w:sz w:val="28"/>
          <w:szCs w:val="28"/>
        </w:rPr>
        <w:t xml:space="preserve">. </w:t>
      </w:r>
      <w:proofErr w:type="gramStart"/>
      <w:r w:rsidR="00790245" w:rsidRPr="00790245">
        <w:rPr>
          <w:sz w:val="28"/>
          <w:szCs w:val="28"/>
        </w:rPr>
        <w:t>Контроль за</w:t>
      </w:r>
      <w:proofErr w:type="gramEnd"/>
      <w:r w:rsidR="00790245" w:rsidRPr="00790245">
        <w:rPr>
          <w:sz w:val="28"/>
          <w:szCs w:val="28"/>
        </w:rPr>
        <w:t xml:space="preserve"> выполнением распоряжения </w:t>
      </w:r>
      <w:r>
        <w:rPr>
          <w:sz w:val="28"/>
          <w:szCs w:val="28"/>
        </w:rPr>
        <w:t>оставляю за собой.</w:t>
      </w: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778"/>
        <w:gridCol w:w="993"/>
        <w:gridCol w:w="3260"/>
      </w:tblGrid>
      <w:tr w:rsidR="00A8643D" w:rsidTr="0016155D">
        <w:tc>
          <w:tcPr>
            <w:tcW w:w="5778" w:type="dxa"/>
            <w:hideMark/>
          </w:tcPr>
          <w:p w:rsidR="00A8643D" w:rsidRDefault="0016155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сельского поселения Болчары </w:t>
            </w:r>
          </w:p>
        </w:tc>
        <w:tc>
          <w:tcPr>
            <w:tcW w:w="993" w:type="dxa"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3260" w:type="dxa"/>
            <w:hideMark/>
          </w:tcPr>
          <w:p w:rsidR="00A8643D" w:rsidRDefault="00A8643D" w:rsidP="00A52D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16155D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6155D">
              <w:rPr>
                <w:sz w:val="28"/>
                <w:szCs w:val="28"/>
                <w:lang w:eastAsia="en-US"/>
              </w:rPr>
              <w:t xml:space="preserve">С. Ю. Мокроусов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790245" w:rsidRDefault="00790245" w:rsidP="00A52DC8">
      <w:pPr>
        <w:rPr>
          <w:sz w:val="28"/>
          <w:szCs w:val="28"/>
        </w:rPr>
        <w:sectPr w:rsidR="00790245" w:rsidSect="00A8643D">
          <w:headerReference w:type="default" r:id="rId8"/>
          <w:pgSz w:w="11909" w:h="16834"/>
          <w:pgMar w:top="1134" w:right="852" w:bottom="1242" w:left="1134" w:header="0" w:footer="0" w:gutter="0"/>
          <w:cols w:space="720"/>
          <w:docGrid w:linePitch="326"/>
        </w:sectPr>
      </w:pPr>
    </w:p>
    <w:p w:rsidR="00C21B35" w:rsidRDefault="00C21B35" w:rsidP="00A52DC8">
      <w:pPr>
        <w:ind w:left="9923"/>
        <w:rPr>
          <w:sz w:val="28"/>
          <w:szCs w:val="28"/>
        </w:rPr>
      </w:pPr>
    </w:p>
    <w:sectPr w:rsidR="00C21B35" w:rsidSect="00790245">
      <w:pgSz w:w="16834" w:h="11909" w:orient="landscape"/>
      <w:pgMar w:top="851" w:right="1242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46" w:rsidRDefault="00BB1E46" w:rsidP="003275B4">
      <w:r>
        <w:separator/>
      </w:r>
    </w:p>
  </w:endnote>
  <w:endnote w:type="continuationSeparator" w:id="0">
    <w:p w:rsidR="00BB1E46" w:rsidRDefault="00BB1E4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46" w:rsidRDefault="00BB1E46" w:rsidP="003275B4">
      <w:r>
        <w:separator/>
      </w:r>
    </w:p>
  </w:footnote>
  <w:footnote w:type="continuationSeparator" w:id="0">
    <w:p w:rsidR="00BB1E46" w:rsidRDefault="00BB1E4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F6EF0"/>
    <w:multiLevelType w:val="hybridMultilevel"/>
    <w:tmpl w:val="D884D51C"/>
    <w:lvl w:ilvl="0" w:tplc="CEF045C4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9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64AE221C"/>
    <w:multiLevelType w:val="hybridMultilevel"/>
    <w:tmpl w:val="C84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4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5"/>
  </w:num>
  <w:num w:numId="19">
    <w:abstractNumId w:val="19"/>
  </w:num>
  <w:num w:numId="20">
    <w:abstractNumId w:val="11"/>
  </w:num>
  <w:num w:numId="21">
    <w:abstractNumId w:val="8"/>
  </w:num>
  <w:num w:numId="22">
    <w:abstractNumId w:val="7"/>
  </w:num>
  <w:num w:numId="23">
    <w:abstractNumId w:val="17"/>
  </w:num>
  <w:num w:numId="24">
    <w:abstractNumId w:val="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1134CC"/>
    <w:rsid w:val="0016155D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320A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607DB9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705740"/>
    <w:rsid w:val="00710E7F"/>
    <w:rsid w:val="00711C65"/>
    <w:rsid w:val="00714FA6"/>
    <w:rsid w:val="0075005E"/>
    <w:rsid w:val="00755707"/>
    <w:rsid w:val="00760547"/>
    <w:rsid w:val="007769AF"/>
    <w:rsid w:val="00790245"/>
    <w:rsid w:val="007D49B3"/>
    <w:rsid w:val="007F5423"/>
    <w:rsid w:val="008007C7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67788"/>
    <w:rsid w:val="009A3160"/>
    <w:rsid w:val="009B2B90"/>
    <w:rsid w:val="009C1599"/>
    <w:rsid w:val="009C569B"/>
    <w:rsid w:val="009D1254"/>
    <w:rsid w:val="009E3DCA"/>
    <w:rsid w:val="009E4B59"/>
    <w:rsid w:val="00A051DD"/>
    <w:rsid w:val="00A102B0"/>
    <w:rsid w:val="00A11F7A"/>
    <w:rsid w:val="00A248FA"/>
    <w:rsid w:val="00A52DC8"/>
    <w:rsid w:val="00A62209"/>
    <w:rsid w:val="00A8643D"/>
    <w:rsid w:val="00A91E7A"/>
    <w:rsid w:val="00A93413"/>
    <w:rsid w:val="00A950E7"/>
    <w:rsid w:val="00A96E17"/>
    <w:rsid w:val="00AC2056"/>
    <w:rsid w:val="00AD18A3"/>
    <w:rsid w:val="00AE6A98"/>
    <w:rsid w:val="00AF4C56"/>
    <w:rsid w:val="00B00CEB"/>
    <w:rsid w:val="00B1073C"/>
    <w:rsid w:val="00B12C6B"/>
    <w:rsid w:val="00B1510D"/>
    <w:rsid w:val="00B30039"/>
    <w:rsid w:val="00B464B4"/>
    <w:rsid w:val="00B62EEF"/>
    <w:rsid w:val="00B738B5"/>
    <w:rsid w:val="00B73B27"/>
    <w:rsid w:val="00B842CF"/>
    <w:rsid w:val="00B92817"/>
    <w:rsid w:val="00BB1E46"/>
    <w:rsid w:val="00BB3219"/>
    <w:rsid w:val="00BD28C5"/>
    <w:rsid w:val="00BD36B1"/>
    <w:rsid w:val="00BE0007"/>
    <w:rsid w:val="00C01E17"/>
    <w:rsid w:val="00C02E5E"/>
    <w:rsid w:val="00C039BB"/>
    <w:rsid w:val="00C07A5B"/>
    <w:rsid w:val="00C21B35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00706"/>
    <w:rsid w:val="00D126C7"/>
    <w:rsid w:val="00D2445E"/>
    <w:rsid w:val="00D35BCD"/>
    <w:rsid w:val="00D80260"/>
    <w:rsid w:val="00D835BD"/>
    <w:rsid w:val="00DB1BA9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5A0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Знак Знак Знак Знак Знак Знак Знак Знак Знак Знак"/>
    <w:basedOn w:val="a"/>
    <w:rsid w:val="0079024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F0D5E-9AD0-406A-B8DA-0A3B7FE4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2022-01-12T06:47:00Z</cp:lastPrinted>
  <dcterms:created xsi:type="dcterms:W3CDTF">2022-01-12T08:34:00Z</dcterms:created>
  <dcterms:modified xsi:type="dcterms:W3CDTF">2022-01-12T08:34:00Z</dcterms:modified>
</cp:coreProperties>
</file>