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продаже муниципального имущества </w:t>
      </w:r>
    </w:p>
    <w:p w:rsidR="00FA3E33" w:rsidRPr="00FA3E33" w:rsidRDefault="001A592E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A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осредством</w:t>
      </w:r>
      <w:proofErr w:type="gramEnd"/>
      <w:r w:rsidR="00FA3E33" w:rsidRPr="00FA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аукциона с открытой формой подачи предложений о цене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A3E33" w:rsidRPr="00FA3E33" w:rsidTr="00457362">
        <w:trPr>
          <w:trHeight w:val="432"/>
        </w:trPr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Продавец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474235">
            <w:pPr>
              <w:spacing w:after="0" w:line="240" w:lineRule="auto"/>
              <w:ind w:left="-108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left="-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 электронной площадки: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4368ED" w:rsidP="00FA3E33">
            <w:pPr>
              <w:widowControl w:val="0"/>
              <w:tabs>
                <w:tab w:val="left" w:pos="900"/>
                <w:tab w:val="left" w:pos="3600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A3E33"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«Сбербанк-АСТ», владеющее сайтом </w:t>
            </w:r>
            <w:r w:rsidR="00FA3E33" w:rsidRPr="00FA3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http://utp.sberbank-ast.ru/AP</w:t>
            </w:r>
            <w:r w:rsidR="00FA3E33"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  <w:p w:rsidR="00FA3E33" w:rsidRPr="00FA3E3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119180, г. Москва, ул. Большой Савинский переулок, дом 12, стр.9, </w:t>
            </w:r>
          </w:p>
          <w:p w:rsidR="00FA3E33" w:rsidRPr="00FA3E33" w:rsidRDefault="00FA3E33" w:rsidP="00FA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+7(495) 787-29-97, +7(495) 787-29-99</w:t>
            </w:r>
          </w:p>
        </w:tc>
      </w:tr>
      <w:tr w:rsidR="00FA3E33" w:rsidRPr="00FA3E33" w:rsidTr="00457362">
        <w:tc>
          <w:tcPr>
            <w:tcW w:w="10195" w:type="dxa"/>
          </w:tcPr>
          <w:p w:rsidR="008E187B" w:rsidRPr="00C344A3" w:rsidRDefault="00FA3E33" w:rsidP="00C344A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городского поселения </w:t>
            </w:r>
            <w:r w:rsidR="0047423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№</w:t>
            </w:r>
            <w:proofErr w:type="gramEnd"/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прогнозного плана приватизации муниципального имущества городского поселения </w:t>
            </w:r>
            <w:r w:rsidR="00B00AE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B00AE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00AE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годы», постановление администрации городского поселения </w:t>
            </w:r>
            <w:r w:rsidR="00B00AE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17FE6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617FE6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617FE6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4A3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FE6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условиях приватизации имущества»</w:t>
            </w:r>
            <w:r w:rsid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Наименование имущества</w:t>
            </w:r>
            <w:r w:rsidRPr="00FA3E3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краткие характеристики муниципального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474235" w:rsidRPr="00474235" w:rsidRDefault="00FA3E33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  <w:r w:rsidRPr="00FA3E33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– </w:t>
            </w:r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 КО-449-02 на шасси КамАЗ-65115-D3, идентификационный номер (YIN) Х5Н44902D80000019, год изготовления 2008, модель №</w:t>
            </w:r>
            <w:r w:rsidR="004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65115 КО-499-02, двигатель №</w:t>
            </w:r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6ISBЕ285 69505891, шасси (рама) № ХТС651153 81158790, кузов (кабина) № 2099954, цвет кузова оранжевый, мощность двигателя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281.8 (207), рабочий объем двигателя,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«КОММАШ», паспорт транспортного средства 57 МС 558021, выдан 07.08.2008 года, государственный регистрационный знак К 642 ТТ 86, свидетельство о регистрации 99 28 365617 от 28.06.2022года.</w:t>
            </w:r>
          </w:p>
          <w:p w:rsidR="00153D6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r w:rsidRPr="00FA3E33">
              <w:rPr>
                <w:rFonts w:ascii="Tahoma" w:eastAsia="Times New Roman" w:hAnsi="Tahom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A3E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–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1 250 000</w:t>
            </w:r>
            <w:r w:rsidR="00153D63"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миллион двести пятьдесят тысяч</w:t>
            </w:r>
            <w:r w:rsidR="00153D63"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00 копеек.</w:t>
            </w:r>
          </w:p>
          <w:p w:rsidR="00FA3E33" w:rsidRPr="00FA3E3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 для участия в торгах–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пятьдесят тысяч</w:t>
            </w:r>
            <w:r w:rsidR="000F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копеек) (20% начальной цены предложения)</w:t>
            </w:r>
          </w:p>
          <w:p w:rsidR="00FA3E33" w:rsidRPr="00FA3E33" w:rsidRDefault="00FA3E33" w:rsidP="0047423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повышения цены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(«шаг аукциона») – </w:t>
            </w:r>
            <w:r w:rsidR="00474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12 500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474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двенадцать тысяч пятьсот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 00 копеек). (1% начальной цены предложения).</w:t>
            </w:r>
          </w:p>
        </w:tc>
      </w:tr>
      <w:tr w:rsidR="00153D63" w:rsidRPr="00FA3E33" w:rsidTr="00457362">
        <w:tc>
          <w:tcPr>
            <w:tcW w:w="10195" w:type="dxa"/>
          </w:tcPr>
          <w:p w:rsidR="00474235" w:rsidRPr="00474235" w:rsidRDefault="00153D63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№2 - </w:t>
            </w:r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УАЗ-22069, идентификационный номер (YIN) ХТТ22069060473095, год изготовления 2006, модель № двигателя 421800*60604491, шасси (рама) № 37410060494368, кузов (кабина) № 22060060213102, цвет кузова: БЕЛАЯ НОЧЬ, мощность двигателя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86 (63,2), рабочий объем двигателя,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2890, тип двигателя бензиновый, экологический класс нулевой, разрешенная максимальная масса, кг 2780, масса без нагрузки, кг 1855, Организация изготовитель: Россия, ОАО «УАЗ» наименование организации выдавшей паспорт: ОАО УАЗ, 432008, РФ,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г.Ульянвск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Московское шоссе, 8, паспорт транспортного средства 73 МК 141512, выдан 30.06.2006 года, государственный регистрационный знак Х 581 РА 86, свидетельство о регистрации 86 ОС 987897 от 23.08.2006года.  </w:t>
            </w:r>
          </w:p>
          <w:p w:rsidR="000F6D43" w:rsidRDefault="00153D63" w:rsidP="0015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цена предложения –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="000F6D43" w:rsidRPr="000F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(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 пятьдесят четыре тысячи</w:t>
            </w:r>
            <w:r w:rsidR="000F6D43" w:rsidRPr="000F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00 копеек.</w:t>
            </w:r>
          </w:p>
          <w:p w:rsidR="00153D63" w:rsidRPr="00153D63" w:rsidRDefault="00153D63" w:rsidP="0015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Задаток для участия в торгах–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70 800</w:t>
            </w:r>
            <w:r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семьдесят тысяч восемьсот</w:t>
            </w:r>
            <w:r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 (20% начальной цены предложения)</w:t>
            </w:r>
          </w:p>
          <w:p w:rsidR="00D73CB4" w:rsidRPr="0097583A" w:rsidRDefault="00153D63" w:rsidP="000F6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Величина повышения цены («шаг аукциона») –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</w:t>
            </w:r>
            <w:r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тысячи пятьсот сорок</w:t>
            </w:r>
            <w:r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копеек). (1% начальной цены предложения).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Способ приватизации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Продажа муниципального имущества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посредством аукциона с открытой формой подачи предложений о цене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Форма подачи предложений о цене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ткрытая по составу участников и форме подачи предложений о цене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регистрации на электронной площадке для подачи заявки на участие в продаже посредством аукциона в электронной форме.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обеспечения доступа к участию в электронном аукционе Претендентам необходимо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пройти процедуру регистрации на электронной площадке.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Подача заявки на участие осуществляется только посредством интерфейса универсальной торговой платформы </w:t>
            </w:r>
            <w:r w:rsidR="00436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«Сбербанк-АСТ» торговой секции «Приватизация, аренда и продажа прав» из личного кабинета претендента.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      </w:r>
            <w:r w:rsidR="00436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«Сбербанк-АСТ» размещена по адресу: </w:t>
            </w:r>
            <w:hyperlink r:id="rId7" w:history="1">
              <w:proofErr w:type="gramStart"/>
              <w:r w:rsidRPr="00FA3E33">
                <w:rPr>
                  <w:rFonts w:ascii="Times New Roman" w:eastAsia="Times New Roman" w:hAnsi="Times New Roman" w:cs="Times New Roman"/>
                  <w:bCs/>
                  <w:color w:val="0000FF"/>
                  <w:szCs w:val="24"/>
                  <w:u w:val="single"/>
                  <w:lang w:eastAsia="ru-RU"/>
                </w:rPr>
                <w:t>http://utp.sberbank-ast.ru/AP/Notice/652/Instructions</w:t>
              </w:r>
            </w:hyperlink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 чего обязательно прикрепить к ней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8" w:history="1">
              <w:r w:rsidRPr="00FA3E3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http://www.sberbank-ast.ru/SBCAAuthorizeList.aspx</w:t>
              </w:r>
            </w:hyperlink>
          </w:p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Документооборот между претенд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лица, имеющего право действовать от имени претендента. 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Данное п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Порядок определения лиц, имеющих право приобретения 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имущества 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Продажа имущества посредством аукциона с открытой формой подачи предложений о цене проводится в соответствии с Федеральным законом от 21.12.2001 № 178-ФЗ «О приватизации государственного и муниципального имущества»,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, утвержденным постановлением Правительства РФ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27.08.2012 № 860,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Регламентом электронной площадки «Сбербанк-АСТ» (размещен по адресу: http://utp.sberbank-ast.ru/Main/File/DownloadFile?fid=21514325-5801-4346-a9e2-9d82cddad205).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продажи имущества проводится в день и во время, указанные в информационном сообщении о продаже имущества посредством аукциона в электронной форме, путем последовательного повышения цены первоначального предложения (цена имущества, указанная в информационном сообщении) на величину, равную величине "шага повышения".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повышения".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повышения", при отсутствии предложений других участников.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Размеры задатка, срок и порядок их внесения, необходимые реквизиты счетов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FA3E33" w:rsidRPr="001D5DE7" w:rsidRDefault="00FA3E33" w:rsidP="00FA3E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внесения задатка, т.е. поступления суммы задатка на счет </w:t>
            </w:r>
            <w:r w:rsidRPr="00FA3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Оператора электронной площадки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</w:t>
            </w:r>
            <w:r w:rsidRPr="001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DE7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5DE7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Задаток для участия в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продаже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keepNext/>
                    <w:spacing w:after="0" w:line="240" w:lineRule="auto"/>
                    <w:jc w:val="both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4368ED" w:rsidP="00FA3E33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FA3E33"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"Сбербанк-АСТ"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7707308480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770401001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40702810300020038047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keepNext/>
                    <w:spacing w:after="0" w:line="240" w:lineRule="auto"/>
                    <w:jc w:val="both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ПАО "СБЕРБАНК РОССИИ" Г. МОСКВА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044525225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30101810400000000225</w:t>
                  </w:r>
                </w:p>
              </w:tc>
            </w:tr>
          </w:tbl>
          <w:p w:rsidR="00FA3E33" w:rsidRPr="00FA3E33" w:rsidRDefault="00FA3E33" w:rsidP="00FA3E33">
            <w:pPr>
              <w:widowControl w:val="0"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назначении платежа необходимо обязательно указать: «Перечисление денежных средств в качестве задатка (депозита) за участие в </w:t>
            </w:r>
            <w:proofErr w:type="gram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  муниципального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по извещению № ___, лот(ы) № 1</w:t>
            </w:r>
            <w:r w:rsidR="00CB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№2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плательщика), НДС не облагается».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платежного поручения приведен на электронной площадке по адресу: </w:t>
            </w:r>
            <w:hyperlink r:id="rId9" w:history="1">
              <w:r w:rsidRPr="00FA3E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http://utp.sberbank-ast.ru/AP/Notice/653/Requisites</w:t>
              </w:r>
            </w:hyperlink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FA3E33" w:rsidRPr="008B3F6B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0" w:history="1">
              <w:r w:rsidRPr="00FA3E3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статьей 437</w:t>
              </w:r>
            </w:hyperlink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Гражданского кодекса Российской </w:t>
            </w: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Федерации, а подача претендентом заявки на участие в продаже </w:t>
            </w:r>
            <w:r w:rsidRPr="008B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FA3E33" w:rsidRPr="001D5DE7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Внесение задатка начинается 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1D5DE7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1D5DE7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FA3E33" w:rsidRPr="008B3F6B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перечислившим задаток для участия в продаже муниципального имущества по продаже имущества посредством аукциона в электронной форме, денежные средства возвращаются в следующем порядке: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8B3F6B" w:rsidRDefault="00FA3E33" w:rsidP="00FA3E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для </w:t>
            </w:r>
            <w:proofErr w:type="gramStart"/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оплаты  имущества</w:t>
            </w:r>
            <w:proofErr w:type="gramEnd"/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приобретаемого покупателем:</w:t>
            </w:r>
          </w:p>
          <w:p w:rsidR="00D7021D" w:rsidRPr="00455BB3" w:rsidRDefault="00D7021D" w:rsidP="00D7021D">
            <w:pPr>
              <w:spacing w:after="0" w:line="240" w:lineRule="auto"/>
              <w:ind w:left="59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Ханты-Мансийскому автономному округу-Югре (Администрация </w:t>
            </w:r>
            <w:proofErr w:type="gram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 Мортка</w:t>
            </w:r>
            <w:proofErr w:type="gram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л/с  04873032830)</w:t>
            </w:r>
          </w:p>
          <w:p w:rsidR="00455BB3" w:rsidRPr="00455BB3" w:rsidRDefault="00455BB3" w:rsidP="00455B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8616008570</w:t>
            </w:r>
          </w:p>
          <w:p w:rsidR="00455BB3" w:rsidRPr="00455BB3" w:rsidRDefault="00455BB3" w:rsidP="00455B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861601001</w:t>
            </w:r>
          </w:p>
          <w:p w:rsidR="008B3F6B" w:rsidRPr="00455BB3" w:rsidRDefault="008B3F6B" w:rsidP="008B3F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 </w:t>
            </w:r>
            <w:r w:rsidR="00D7021D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03100643000000018700</w:t>
            </w:r>
          </w:p>
          <w:p w:rsidR="008B3F6B" w:rsidRPr="00455BB3" w:rsidRDefault="008B3F6B" w:rsidP="008B3F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  <w:r w:rsidR="00D7021D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40102810245370000007</w:t>
            </w:r>
          </w:p>
          <w:p w:rsidR="00455BB3" w:rsidRDefault="00455BB3" w:rsidP="00455BB3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007162163</w:t>
            </w:r>
          </w:p>
          <w:p w:rsidR="00D7021D" w:rsidRPr="00455BB3" w:rsidRDefault="00D7021D" w:rsidP="00455BB3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 - Югре </w:t>
            </w:r>
            <w:proofErr w:type="spell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г.Ханты</w:t>
            </w:r>
            <w:proofErr w:type="spell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Мансийск</w:t>
            </w:r>
            <w:proofErr w:type="spell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4F7" w:rsidRPr="00455BB3" w:rsidRDefault="00D7021D" w:rsidP="0045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F54F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="003F14D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3F54F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114 02053 </w:t>
            </w:r>
            <w:r w:rsidR="003F14D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F54F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0000 410</w:t>
            </w:r>
          </w:p>
          <w:p w:rsidR="00FA3E33" w:rsidRPr="008B3F6B" w:rsidRDefault="00FA3E33" w:rsidP="00FA3E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="00B35E99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71816163</w:t>
            </w:r>
          </w:p>
          <w:p w:rsidR="00FA3E33" w:rsidRPr="00FA3E33" w:rsidRDefault="00FA3E33" w:rsidP="00FA3E3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Покупатели 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имущества оплачивают стоимость </w:t>
            </w:r>
            <w:proofErr w:type="gramStart"/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приобретённого  имущества</w:t>
            </w:r>
            <w:proofErr w:type="gramEnd"/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455B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9. Порядок, место, даты начала и окончания подачи заявок 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677B01" w:rsidRDefault="00FA3E33" w:rsidP="00FA3E3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и регистрация заявок</w:t>
            </w:r>
            <w:r w:rsidRPr="007E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</w:t>
            </w: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08 час. 00 мин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и заканчивается в 08 час 00 мин 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  <w:r w:rsidRPr="0067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(МСК).</w:t>
            </w:r>
          </w:p>
          <w:p w:rsidR="00FA3E33" w:rsidRPr="008B3F6B" w:rsidRDefault="00FA3E33" w:rsidP="00FA3E3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площадки), с приложением электронных образов документов, предусмотренных Федеральным законом о приватизации.</w:t>
            </w:r>
          </w:p>
          <w:p w:rsidR="00FA3E33" w:rsidRPr="00677B01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приема заявок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продаже </w:t>
            </w:r>
            <w:r w:rsidRPr="00D9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посредством аукциона 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электронной форме – 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08-00 час 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2022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(МСК).</w:t>
            </w:r>
          </w:p>
          <w:p w:rsidR="00FA3E33" w:rsidRPr="00677B01" w:rsidRDefault="00FA3E33" w:rsidP="00FA3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продаже </w:t>
            </w:r>
            <w:r w:rsidRPr="00D9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– 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08-00 час </w:t>
            </w:r>
            <w:r w:rsid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(МСК).</w:t>
            </w:r>
          </w:p>
          <w:p w:rsidR="00FA3E33" w:rsidRPr="00677B01" w:rsidRDefault="00FA3E33" w:rsidP="00FA3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 и признание претендентов участниками</w:t>
            </w:r>
            <w:r w:rsidRPr="007E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 </w:t>
            </w:r>
            <w:r w:rsidRPr="007E4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7E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7B01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08-00 час. (МСК).</w:t>
            </w:r>
          </w:p>
          <w:p w:rsidR="00FA3E33" w:rsidRPr="00677B01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Продажа </w:t>
            </w:r>
            <w:r w:rsidRPr="007E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 состоится</w:t>
            </w:r>
            <w:r w:rsidRPr="007E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и время начала продажи) –</w:t>
            </w:r>
            <w:r w:rsidRPr="00B35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 08-00 час. (МСК).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подведения итогов продажи </w:t>
            </w:r>
            <w:r w:rsidRPr="008B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форме: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площадка – универсальная торговая платформа </w:t>
            </w:r>
            <w:r w:rsidR="004368ED"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«Сбербанк-АСТ», размещенная на сайте http://utp.sberbank-ast.ru в сети Интернет (торговая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«приватизация, аренда и продажа прав»).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продажи имущества посредством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 не допускается к участию в продаже посредством аукциона</w:t>
            </w:r>
          </w:p>
          <w:p w:rsidR="00FA3E33" w:rsidRPr="00FA3E33" w:rsidRDefault="00FA3E33" w:rsidP="00F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следующим основаниям: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1)представленные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не подтверждают право претендента быть покупателем в соответствии с </w:t>
            </w:r>
            <w:hyperlink r:id="rId11" w:history="1">
              <w:r w:rsidRPr="00FA3E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заявка на участие в продаже посредством аукциона подана лицом, не уполномоченным претендентом на осуществление таких действий;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оснований отказа претенденту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участии в продаже аукциона в электронной форме является исчерпывающим.</w:t>
            </w:r>
          </w:p>
        </w:tc>
      </w:tr>
      <w:tr w:rsidR="00FA3E33" w:rsidRPr="00FA3E33" w:rsidTr="00D15FC7">
        <w:tc>
          <w:tcPr>
            <w:tcW w:w="10195" w:type="dxa"/>
            <w:tcBorders>
              <w:bottom w:val="nil"/>
            </w:tcBorders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Перечень представляемых участниками торгов документов, требование к их оформлению</w:t>
            </w:r>
          </w:p>
        </w:tc>
      </w:tr>
      <w:tr w:rsidR="00FA3E33" w:rsidRPr="00FA3E33" w:rsidTr="00D15FC7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Одновременно с заявкой установленной формы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претенденты представляют следующие документы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sub_161002"/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лица: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61003"/>
            <w:bookmarkEnd w:id="0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заверенные копии учредительных документов;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61004"/>
            <w:bookmarkEnd w:id="1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61005"/>
            <w:bookmarkEnd w:id="2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61006"/>
            <w:bookmarkEnd w:id="3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6102"/>
            <w:bookmarkEnd w:id="4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данным документам (в том числе к каждому тому) также прилагается их опись (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A3E33" w:rsidRPr="00FA3E33" w:rsidTr="00D15FC7">
        <w:tc>
          <w:tcPr>
            <w:tcW w:w="10195" w:type="dxa"/>
            <w:tcBorders>
              <w:top w:val="nil"/>
            </w:tcBorders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12. </w:t>
            </w:r>
            <w:r w:rsidRPr="00FA3E3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A3E33" w:rsidRPr="00FA3E33" w:rsidTr="00457362">
        <w:trPr>
          <w:trHeight w:val="797"/>
        </w:trPr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-государственных и муниципальных унитарных предприятий, государственных и муниципальных учреждений;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бенефициарных</w:t>
            </w:r>
            <w:proofErr w:type="spell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Срок заключения договора купли-продажи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 даты проведения продажи с победителем заключается договор купли-продажи имущества.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C167D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документами по объект</w:t>
            </w:r>
            <w:r w:rsidR="001B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продажи, получить информацию об условиях договора купли-продажи, условиях проведения продажи и иную информацию можно на официальном сайте </w:t>
            </w:r>
            <w:r w:rsidR="00B35E99" w:rsidRP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органов местного самоуправления муниципального образования Кондинский район </w:t>
            </w:r>
            <w:hyperlink r:id="rId12" w:history="1">
              <w:r w:rsidR="00B35E99" w:rsidRPr="00B35E9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http://admkonda.ru/mortka-auktciony-konkursy.html</w:t>
              </w:r>
            </w:hyperlink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официальном сайте Российской Федерации </w:t>
            </w:r>
            <w:hyperlink r:id="rId13" w:history="1"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у 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Продавца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любой день,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установленный для приема заявок, т.е. ежедневно, кроме субботы, воскресенья и праздничных дней с 9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 8 (34677)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  <w:r w:rsidR="00C1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 Участники продажи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624CDB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заявок проводится по адресу: Ханты-Мансийский автономный округ – Югра, Кондинский район, пгт. </w:t>
            </w:r>
            <w:proofErr w:type="gramStart"/>
            <w:r w:rsidR="00B35E99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Мортка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</w:t>
            </w:r>
            <w:proofErr w:type="gramEnd"/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5E99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Путейская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35E99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A3E33" w:rsidRPr="00624CDB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продажи имущества проводится по адресу: Ханты-Мансийский автономный округ – Югра, Кондинский район, пгт. </w:t>
            </w:r>
            <w:proofErr w:type="gramStart"/>
            <w:r w:rsidR="00046330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Мортка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</w:t>
            </w:r>
            <w:proofErr w:type="gramEnd"/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6330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Путейская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46330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  <w:p w:rsidR="00FA3E33" w:rsidRPr="001D5DE7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Определение </w:t>
            </w:r>
            <w:r w:rsidRPr="001D5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 продажи посредством аукциона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проводится </w:t>
            </w:r>
            <w:r w:rsidR="00677B01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7B01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августа 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08 час. 00 мин. (МСК)</w:t>
            </w:r>
          </w:p>
          <w:p w:rsidR="00FA3E33" w:rsidRPr="00FA3E33" w:rsidRDefault="00FA3E33" w:rsidP="0067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Продажа проводится </w:t>
            </w:r>
            <w:r w:rsidR="00677B01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7B01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08 час. 00 мин. (МСК)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Форма платежа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Безналичный расчёт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Продажа имущества посредством аукциона в электронной форме признается несостоявшейся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следующих случаях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было подано ни одной заявки на участие в продаже имущества посредством аукциона либо ни один из претендентов не признан участником такой продажи;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принято решение о признании только одного претендента участником;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 Информация о предыдущих торгах по продаже муниципального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E92361" w:rsidRDefault="00E92361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A68" w:rsidRPr="005A7015" w:rsidRDefault="00E92361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 по лоту №1</w:t>
            </w:r>
            <w:r w:rsidR="008B6A68" w:rsidRPr="005A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проводятся впервые.</w:t>
            </w:r>
          </w:p>
          <w:p w:rsidR="008B6A68" w:rsidRPr="00FA3E33" w:rsidRDefault="008B6A68" w:rsidP="008B6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 по лоту №</w:t>
            </w:r>
            <w:r w:rsidR="00E9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проводятся впервые.</w:t>
            </w:r>
          </w:p>
        </w:tc>
      </w:tr>
    </w:tbl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3E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FA3E33" w:rsidRPr="00FA3E33" w:rsidRDefault="00FA3E33" w:rsidP="00FA3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1 - форма заявки </w:t>
      </w:r>
    </w:p>
    <w:p w:rsidR="00FA3E33" w:rsidRPr="00FA3E33" w:rsidRDefault="00FA3E33" w:rsidP="00F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ПРОДАЖЕ ИМУЩЕСТВА ПОСРЕДСТВОМ АУКЦИОНА 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информационным сообщением № ______ по лоту № 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"______" ____________ 20</w:t>
      </w:r>
      <w:r w:rsidR="00ED33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юридическим лицом:</w:t>
      </w:r>
    </w:p>
    <w:p w:rsidR="00FA3E33" w:rsidRPr="00FA3E33" w:rsidRDefault="00FA3E33" w:rsidP="00FA3E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юридического лица, подающего заявку)</w:t>
      </w:r>
    </w:p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____________________________________________________________________,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отчество, должность)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доверенности и т.д.)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 далее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Претендент,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физическим лицом, в том числе индивидуальным предпринимателем: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данные: серия ___________________№_______________________________________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по адресу:  ______________________________________________________________________________________________________________________________________________________________________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Претендент,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его основные характеристики и местонахождение)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объекта (имущества)____________________________________________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аукциона», «шаге понижения», «цене отсечения»),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настоящей процедуры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к Продавцу не имеет.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подтверждаем(-ю), что: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подтверждаем(-ю) свое согласие на обработку персональных данных.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телефон, ИНН (при наличии) и банковские реквизиты Претендента: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Приложения: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учредительных документов;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E33" w:rsidRPr="00FA3E33" w:rsidRDefault="00FA3E33" w:rsidP="00FA3E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 __________.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A3E33" w:rsidRPr="00FA3E33" w:rsidRDefault="00FA3E33" w:rsidP="00FA3E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Иные документы, представляемые по желанию Претендента в составе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: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__________.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представителя)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         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______________________________________</w:t>
      </w:r>
    </w:p>
    <w:p w:rsidR="00FA3E33" w:rsidRPr="00FA3E33" w:rsidRDefault="00FA3E33" w:rsidP="00FA3E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proofErr w:type="gramEnd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заявителя</w:t>
      </w: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(подпись)            расшифровка подписи (фамилия, инициалы)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 «______»__________________20</w:t>
      </w:r>
      <w:r w:rsidR="003003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образец описи</w:t>
      </w:r>
    </w:p>
    <w:p w:rsidR="00FA3E33" w:rsidRPr="00FA3E33" w:rsidRDefault="00FA3E33" w:rsidP="00F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</w:p>
    <w:p w:rsidR="00FA3E33" w:rsidRPr="00FA3E33" w:rsidRDefault="00FA3E33" w:rsidP="00FA3E33">
      <w:pPr>
        <w:widowControl w:val="0"/>
        <w:spacing w:after="60" w:line="240" w:lineRule="auto"/>
        <w:ind w:right="-57" w:hanging="22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Настоящим, ___________________________________________подтверждает, что для участия 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физического лица/наименование юридического лица)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электронных торгах по объекту муниципального имущества по</w:t>
      </w: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лоту № ___ </w:t>
      </w:r>
      <w:r w:rsidRPr="00FA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направляются ниже перечисленные документы: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FA3E33" w:rsidRPr="00FA3E33" w:rsidTr="00FA3E33">
        <w:trPr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29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bookmarkStart w:id="6" w:name="_GoBack"/>
            <w:bookmarkEnd w:id="6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ниц</w:t>
            </w:r>
          </w:p>
        </w:tc>
      </w:tr>
      <w:tr w:rsidR="00FA3E33" w:rsidRPr="00FA3E33" w:rsidTr="00457362">
        <w:trPr>
          <w:trHeight w:val="608"/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9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E33" w:rsidRPr="00FA3E33" w:rsidTr="00457362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E33" w:rsidRPr="00FA3E33" w:rsidTr="00457362">
        <w:trPr>
          <w:trHeight w:val="1072"/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E33" w:rsidRPr="00FA3E33" w:rsidTr="00457362">
        <w:trPr>
          <w:trHeight w:val="360"/>
          <w:jc w:val="center"/>
        </w:trPr>
        <w:tc>
          <w:tcPr>
            <w:tcW w:w="72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33" w:rsidRPr="00FA3E33" w:rsidTr="00457362">
        <w:trPr>
          <w:trHeight w:val="558"/>
          <w:jc w:val="center"/>
        </w:trPr>
        <w:tc>
          <w:tcPr>
            <w:tcW w:w="72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33" w:rsidRPr="00FA3E33" w:rsidTr="00457362">
        <w:trPr>
          <w:trHeight w:val="558"/>
          <w:jc w:val="center"/>
        </w:trPr>
        <w:tc>
          <w:tcPr>
            <w:tcW w:w="72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33" w:rsidRPr="00FA3E33" w:rsidTr="00457362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FA3E33" w:rsidRPr="00FA3E33" w:rsidRDefault="00FA3E33" w:rsidP="00F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33" w:rsidRPr="00FA3E33" w:rsidRDefault="00FA3E33" w:rsidP="00FA3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1884" w:rsidRDefault="00C71884"/>
    <w:sectPr w:rsidR="00C71884" w:rsidSect="0097583A">
      <w:footerReference w:type="even" r:id="rId14"/>
      <w:footerReference w:type="default" r:id="rId15"/>
      <w:pgSz w:w="11906" w:h="16838"/>
      <w:pgMar w:top="709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1C" w:rsidRDefault="00A9471C">
      <w:pPr>
        <w:spacing w:after="0" w:line="240" w:lineRule="auto"/>
      </w:pPr>
      <w:r>
        <w:separator/>
      </w:r>
    </w:p>
  </w:endnote>
  <w:endnote w:type="continuationSeparator" w:id="0">
    <w:p w:rsidR="00A9471C" w:rsidRDefault="00A9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3003A6" w:rsidP="00762C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565" w:rsidRDefault="00A9471C" w:rsidP="00E82D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3003A6" w:rsidP="00762C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92E">
      <w:rPr>
        <w:rStyle w:val="a5"/>
        <w:noProof/>
      </w:rPr>
      <w:t>9</w:t>
    </w:r>
    <w:r>
      <w:rPr>
        <w:rStyle w:val="a5"/>
      </w:rPr>
      <w:fldChar w:fldCharType="end"/>
    </w:r>
  </w:p>
  <w:p w:rsidR="00597565" w:rsidRDefault="00A9471C" w:rsidP="00E82D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1C" w:rsidRDefault="00A9471C">
      <w:pPr>
        <w:spacing w:after="0" w:line="240" w:lineRule="auto"/>
      </w:pPr>
      <w:r>
        <w:separator/>
      </w:r>
    </w:p>
  </w:footnote>
  <w:footnote w:type="continuationSeparator" w:id="0">
    <w:p w:rsidR="00A9471C" w:rsidRDefault="00A9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D294F"/>
    <w:multiLevelType w:val="multilevel"/>
    <w:tmpl w:val="307ED8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3"/>
    <w:rsid w:val="00046330"/>
    <w:rsid w:val="00071AE6"/>
    <w:rsid w:val="00085FD7"/>
    <w:rsid w:val="000F0297"/>
    <w:rsid w:val="000F6D43"/>
    <w:rsid w:val="00153D63"/>
    <w:rsid w:val="001A592E"/>
    <w:rsid w:val="001B70DA"/>
    <w:rsid w:val="001D5DE7"/>
    <w:rsid w:val="00203D22"/>
    <w:rsid w:val="0024097E"/>
    <w:rsid w:val="002A1520"/>
    <w:rsid w:val="002C5A7F"/>
    <w:rsid w:val="002D0A5E"/>
    <w:rsid w:val="003003A6"/>
    <w:rsid w:val="003E5263"/>
    <w:rsid w:val="003F14D7"/>
    <w:rsid w:val="003F54F7"/>
    <w:rsid w:val="00416908"/>
    <w:rsid w:val="004368ED"/>
    <w:rsid w:val="00455BB3"/>
    <w:rsid w:val="00466B56"/>
    <w:rsid w:val="00474235"/>
    <w:rsid w:val="004D2F60"/>
    <w:rsid w:val="004E2CF4"/>
    <w:rsid w:val="00524751"/>
    <w:rsid w:val="005352E4"/>
    <w:rsid w:val="005A7015"/>
    <w:rsid w:val="00617FE6"/>
    <w:rsid w:val="00624CDB"/>
    <w:rsid w:val="00643A06"/>
    <w:rsid w:val="00677B01"/>
    <w:rsid w:val="006D2F64"/>
    <w:rsid w:val="007E4278"/>
    <w:rsid w:val="0086160C"/>
    <w:rsid w:val="00897337"/>
    <w:rsid w:val="008B3F6B"/>
    <w:rsid w:val="008B6A68"/>
    <w:rsid w:val="008D1056"/>
    <w:rsid w:val="008E187B"/>
    <w:rsid w:val="0097583A"/>
    <w:rsid w:val="00A54588"/>
    <w:rsid w:val="00A9471C"/>
    <w:rsid w:val="00AC0180"/>
    <w:rsid w:val="00B00AE5"/>
    <w:rsid w:val="00B0273A"/>
    <w:rsid w:val="00B35E99"/>
    <w:rsid w:val="00BC4C33"/>
    <w:rsid w:val="00BC628E"/>
    <w:rsid w:val="00BD152C"/>
    <w:rsid w:val="00C167D9"/>
    <w:rsid w:val="00C344A3"/>
    <w:rsid w:val="00C53463"/>
    <w:rsid w:val="00C71884"/>
    <w:rsid w:val="00CB7A07"/>
    <w:rsid w:val="00D15FC7"/>
    <w:rsid w:val="00D36869"/>
    <w:rsid w:val="00D7021D"/>
    <w:rsid w:val="00D73CB4"/>
    <w:rsid w:val="00D949FE"/>
    <w:rsid w:val="00DE3D86"/>
    <w:rsid w:val="00E35E98"/>
    <w:rsid w:val="00E41139"/>
    <w:rsid w:val="00E92361"/>
    <w:rsid w:val="00ED333F"/>
    <w:rsid w:val="00F12D9E"/>
    <w:rsid w:val="00F455D8"/>
    <w:rsid w:val="00F53C1A"/>
    <w:rsid w:val="00FA3E33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7D0F-A615-4ADB-8124-020CCAF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3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A3E3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E3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F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SBCAAuthorizeList.aspx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http://admkonda.ru/mortka-auktciony-konkurs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29B7B8959109BB5079C7C544FA6836AB721F9FE2A0BBE2B531F24056E93828143B415BA7C1AFA0G7w6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2022-07-26T05:58:00Z</cp:lastPrinted>
  <dcterms:created xsi:type="dcterms:W3CDTF">2021-04-01T06:51:00Z</dcterms:created>
  <dcterms:modified xsi:type="dcterms:W3CDTF">2022-07-26T09:52:00Z</dcterms:modified>
</cp:coreProperties>
</file>