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-571499</wp:posOffset>
                </wp:positionH>
                <wp:positionV relativeFrom="paragraph">
                  <wp:posOffset>118110</wp:posOffset>
                </wp:positionV>
                <wp:extent cx="114300" cy="1143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</w:pP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45.0pt;mso-position-horizontal:absolute;mso-position-vertical-relative:text;margin-top:9.3pt;mso-position-vertical:absolute;width:9.0pt;height:9.0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Normal"/>
                      </w:pP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Ханты – Мансийск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автономн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- Югр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</w:pPr>
      <w:r>
        <w:t xml:space="preserve">о</w:t>
      </w:r>
      <w:r>
        <w:t xml:space="preserve">т</w:t>
      </w:r>
      <w:r>
        <w:t xml:space="preserve"> </w:t>
      </w:r>
      <w:r>
        <w:t xml:space="preserve">03 июля</w:t>
      </w:r>
      <w:r>
        <w:t xml:space="preserve"> 20</w:t>
      </w:r>
      <w:r>
        <w:t xml:space="preserve">2</w:t>
      </w:r>
      <w:r>
        <w:t xml:space="preserve">3</w:t>
      </w:r>
      <w:r>
        <w:t xml:space="preserve"> года </w:t>
      </w:r>
      <w:r>
        <w:t xml:space="preserve"> </w:t>
      </w:r>
      <w:r>
        <w:t xml:space="preserve">    </w:t>
      </w:r>
      <w:r>
        <w:tab/>
        <w:tab/>
        <w:tab/>
      </w:r>
      <w:r>
        <w:t xml:space="preserve">             </w:t>
      </w:r>
      <w:r>
        <w:t xml:space="preserve">                 </w:t>
      </w:r>
      <w:r>
        <w:t xml:space="preserve">          </w:t>
      </w:r>
      <w:r>
        <w:t xml:space="preserve">   </w:t>
      </w:r>
      <w:r>
        <w:t xml:space="preserve">   </w:t>
      </w:r>
      <w:r>
        <w:t xml:space="preserve">        </w:t>
      </w:r>
      <w:r>
        <w:t xml:space="preserve">       </w:t>
      </w:r>
      <w:r>
        <w:t xml:space="preserve">  </w:t>
      </w:r>
      <w:r>
        <w:t xml:space="preserve"> </w:t>
      </w:r>
      <w:r>
        <w:t xml:space="preserve">   </w:t>
      </w:r>
      <w:r>
        <w:t xml:space="preserve">№</w:t>
      </w:r>
      <w:r>
        <w:t xml:space="preserve"> </w:t>
      </w:r>
      <w:r>
        <w:t xml:space="preserve"> </w:t>
      </w:r>
      <w:r>
        <w:t xml:space="preserve">108</w:t>
      </w:r>
    </w:p>
    <w:p>
      <w:pPr>
        <w:pStyle w:val="Normal"/>
      </w:pPr>
      <w:r>
        <w:t xml:space="preserve">пгт. Кондинское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HtmlNormal"/>
        <w:spacing w:before="0" w:beforeAutospacing="0" w:after="0" w:afterAutospacing="0"/>
        <w:ind w:right="5147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О составе и порядке осуществления мероприятий, направленных на выявление лиц, использующих расположенные в границах </w:t>
      </w:r>
      <w:r>
        <w:rPr>
          <w:rStyle w:val="Strong"/>
          <w:b w:val="0"/>
        </w:rPr>
        <w:t xml:space="preserve">городского поселения Кондинское </w:t>
      </w:r>
      <w:r>
        <w:rPr>
          <w:rStyle w:val="Strong"/>
          <w:b w:val="0"/>
        </w:rPr>
        <w:t xml:space="preserve">гаражи, права на которые не зарегистрированы в Едином государственном реестре недвижимости</w:t>
      </w:r>
    </w:p>
    <w:p>
      <w:pPr>
        <w:pStyle w:val="Normal"/>
        <w:jc w:val="both"/>
      </w:pPr>
    </w:p>
    <w:p>
      <w:pPr>
        <w:pStyle w:val="Normal"/>
        <w:ind w:firstLine="600"/>
        <w:jc w:val="both"/>
      </w:pPr>
    </w:p>
    <w:p>
      <w:pPr>
        <w:pStyle w:val="Normal"/>
        <w:ind w:firstLine="600"/>
        <w:jc w:val="both"/>
      </w:pPr>
      <w:r>
        <w:t xml:space="preserve">В соответствии с Законом Ханты-Мансийского автономного округа – Югры </w:t>
      </w:r>
      <w:r>
        <w:t xml:space="preserve">от </w:t>
      </w:r>
      <w:r>
        <w:t xml:space="preserve">25 мая 2023 года № 36-оз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недвижимости», в целях организации работы по  выявлению лиц, использующих расположенные в границах муниципального образования </w:t>
      </w:r>
      <w:r>
        <w:t xml:space="preserve">городское поселение Кондинское </w:t>
      </w:r>
      <w:r>
        <w:t xml:space="preserve">гаражей, права на которые не зарегистрированы в Едином государственном реестре недвижимости, администрация </w:t>
      </w:r>
      <w:r>
        <w:rPr>
          <w:rStyle w:val="Strong"/>
          <w:b w:val="0"/>
        </w:rPr>
        <w:t xml:space="preserve">городского поселения Кондинское</w:t>
      </w:r>
      <w:r>
        <w:t xml:space="preserve"> постановляет:</w:t>
      </w:r>
    </w:p>
    <w:p>
      <w:pPr>
        <w:pStyle w:val="HtmlNormal"/>
        <w:spacing w:before="0" w:beforeAutospacing="0" w:after="0" w:afterAutospacing="0"/>
        <w:ind w:firstLine="709"/>
        <w:jc w:val="both"/>
        <w:rPr>
          <w:b/>
        </w:rPr>
      </w:pPr>
      <w:r>
        <w:t xml:space="preserve">1. Утвердить состав и порядок</w:t>
      </w:r>
      <w:r>
        <w:rPr>
          <w:b/>
        </w:rPr>
        <w:t xml:space="preserve"> </w:t>
      </w:r>
      <w:r>
        <w:rPr>
          <w:rStyle w:val="Strong"/>
          <w:b w:val="0"/>
        </w:rPr>
        <w:t xml:space="preserve">осуществления мероприятий, направленных на выявление лиц, использующих расположенные в границах муниципального образования </w:t>
      </w:r>
      <w:r>
        <w:rPr>
          <w:rStyle w:val="Strong"/>
          <w:b w:val="0"/>
        </w:rPr>
        <w:t xml:space="preserve">городского поселения Кондинское</w:t>
      </w:r>
      <w:r>
        <w:rPr>
          <w:rStyle w:val="Strong"/>
          <w:b w:val="0"/>
        </w:rPr>
        <w:t xml:space="preserve"> гаражи, права на которые не зарегистрированы в Едином государственном реестре недвижимости</w:t>
      </w:r>
      <w:r>
        <w:rPr>
          <w:rStyle w:val="Strong"/>
          <w:b w:val="0"/>
        </w:rPr>
        <w:t xml:space="preserve"> (приложение)</w:t>
      </w:r>
      <w:r>
        <w:rPr>
          <w:rStyle w:val="Strong"/>
          <w:b w:val="0"/>
        </w:rPr>
        <w:t xml:space="preserve">.</w:t>
      </w:r>
      <w:r>
        <w:rPr>
          <w:b/>
        </w:rPr>
      </w:r>
    </w:p>
    <w:p>
      <w:pPr>
        <w:pStyle w:val="Normal"/>
        <w:tabs>
          <w:tab w:val="left" w:pos="0" w:leader="none"/>
        </w:tabs>
        <w:ind w:firstLine="709"/>
        <w:jc w:val="both"/>
      </w:pPr>
      <w: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>
      <w:pPr>
        <w:pStyle w:val="Normal"/>
        <w:tabs>
          <w:tab w:val="left" w:pos="0" w:leader="none"/>
        </w:tabs>
        <w:ind w:firstLine="709"/>
        <w:jc w:val="both"/>
      </w:pPr>
      <w:r>
        <w:t xml:space="preserve">3.  Настоящее постановление вступает в силу после опубликования.</w:t>
      </w:r>
    </w:p>
    <w:p>
      <w:pPr>
        <w:pStyle w:val="Normal"/>
        <w:ind w:firstLine="709"/>
        <w:jc w:val="both"/>
      </w:pPr>
      <w:r>
        <w:t xml:space="preserve">4. Контроль за  выполнением  постановления возложить на заместителя главы администрации городского поселения Кондинское.</w:t>
      </w:r>
    </w:p>
    <w:p>
      <w:pPr>
        <w:pStyle w:val="Normal"/>
        <w:ind w:firstLine="567"/>
        <w:jc w:val="both"/>
      </w:pPr>
    </w:p>
    <w:p>
      <w:pPr>
        <w:pStyle w:val="Normal"/>
        <w:ind w:firstLine="567"/>
        <w:jc w:val="both"/>
      </w:pPr>
    </w:p>
    <w:p>
      <w:pPr>
        <w:pStyle w:val="Normal"/>
        <w:ind w:firstLine="567"/>
        <w:jc w:val="both"/>
      </w:pPr>
    </w:p>
    <w:p>
      <w:pPr>
        <w:pStyle w:val="Normal"/>
        <w:ind w:right="-284"/>
        <w:jc w:val="both"/>
      </w:pPr>
      <w:r>
        <w:t xml:space="preserve">Глава городского </w:t>
      </w:r>
    </w:p>
    <w:p>
      <w:pPr>
        <w:pStyle w:val="Normal"/>
        <w:ind w:right="-284"/>
        <w:jc w:val="both"/>
      </w:pPr>
      <w:r>
        <w:t xml:space="preserve">поселения Кондинское</w:t>
        <w:tab/>
        <w:tab/>
        <w:tab/>
        <w:tab/>
        <w:t xml:space="preserve">                                         С.А.Дерябин    </w:t>
      </w: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ind w:right="-284"/>
        <w:jc w:val="both"/>
      </w:pPr>
    </w:p>
    <w:p>
      <w:pPr>
        <w:pStyle w:val="Normal"/>
        <w:jc w:val="right"/>
      </w:pPr>
      <w:r>
        <w:t xml:space="preserve">Приложение</w:t>
      </w:r>
    </w:p>
    <w:p>
      <w:pPr>
        <w:pStyle w:val="Normal"/>
        <w:jc w:val="right"/>
      </w:pPr>
      <w:r>
        <w:t xml:space="preserve">к постановлению администрации</w:t>
      </w:r>
    </w:p>
    <w:p>
      <w:pPr>
        <w:pStyle w:val="Normal"/>
        <w:jc w:val="right"/>
      </w:pPr>
      <w:r>
        <w:t xml:space="preserve">городское поселение Кондинское</w:t>
      </w:r>
    </w:p>
    <w:p>
      <w:pPr>
        <w:pStyle w:val="Normal"/>
        <w:jc w:val="right"/>
      </w:pPr>
      <w:r>
        <w:t xml:space="preserve">от </w:t>
      </w:r>
      <w:r>
        <w:t xml:space="preserve">03 июля</w:t>
      </w:r>
      <w:r>
        <w:t xml:space="preserve"> 2023 года  № </w:t>
      </w:r>
      <w:r>
        <w:t xml:space="preserve">108</w:t>
      </w:r>
      <w:r>
        <w:t xml:space="preserve"> </w:t>
      </w:r>
    </w:p>
    <w:p>
      <w:pPr>
        <w:pStyle w:val="HtmlNormal"/>
        <w:spacing w:before="0" w:beforeAutospacing="0" w:after="0" w:afterAutospacing="0"/>
        <w:jc w:val="center"/>
      </w:pPr>
    </w:p>
    <w:p>
      <w:pPr>
        <w:pStyle w:val="HtmlNormal"/>
        <w:spacing w:before="0" w:beforeAutospacing="0" w:after="0" w:afterAutospacing="0"/>
        <w:jc w:val="center"/>
      </w:pPr>
    </w:p>
    <w:p>
      <w:pPr>
        <w:pStyle w:val="HtmlNormal"/>
        <w:spacing w:before="0" w:beforeAutospacing="0" w:after="0" w:afterAutospacing="0"/>
        <w:jc w:val="center"/>
        <w:rPr>
          <w:rStyle w:val="Strong"/>
          <w:b w:val="0"/>
        </w:rPr>
      </w:pPr>
      <w:r>
        <w:t xml:space="preserve">Состав и порядок</w:t>
      </w:r>
      <w:r>
        <w:rPr>
          <w:b/>
        </w:rPr>
        <w:t xml:space="preserve"> </w:t>
      </w:r>
      <w:r>
        <w:rPr>
          <w:rStyle w:val="Strong"/>
          <w:b w:val="0"/>
        </w:rPr>
        <w:t xml:space="preserve">осуществления мероприятий, направленных на выявление лиц, использующих расположенные в границах муниципального образования </w:t>
      </w:r>
      <w:r>
        <w:rPr>
          <w:rStyle w:val="Strong"/>
          <w:b w:val="0"/>
        </w:rPr>
        <w:t xml:space="preserve">городское поселение Кондинское</w:t>
      </w:r>
      <w:r>
        <w:rPr>
          <w:rStyle w:val="Strong"/>
          <w:b w:val="0"/>
        </w:rPr>
        <w:t xml:space="preserve"> гаражи, права на которые не зарегистрированы в Едином государственном реестре недвижимости</w:t>
      </w:r>
    </w:p>
    <w:p>
      <w:pPr>
        <w:pStyle w:val="HtmlNormal"/>
        <w:spacing w:before="0" w:beforeAutospacing="0" w:after="0" w:afterAutospacing="0"/>
        <w:ind w:firstLine="709"/>
        <w:jc w:val="center"/>
      </w:pPr>
    </w:p>
    <w:p>
      <w:pPr>
        <w:pStyle w:val="HtmlNormal"/>
        <w:spacing w:before="0" w:beforeAutospacing="0" w:after="0" w:afterAutospacing="0"/>
        <w:ind w:firstLine="709"/>
        <w:jc w:val="both"/>
      </w:pPr>
      <w:r>
        <w:t xml:space="preserve">1. Настоящий  состав и порядок </w:t>
      </w:r>
      <w:r>
        <w:rPr>
          <w:rStyle w:val="Strong"/>
          <w:b w:val="0"/>
        </w:rPr>
        <w:t xml:space="preserve">осуществления мероприятий, направленных на выявление лиц, использующих расположенные в границах муниципального образования </w:t>
      </w:r>
      <w:r>
        <w:t xml:space="preserve">городское поселение Кондинское</w:t>
      </w:r>
      <w:r>
        <w:rPr>
          <w:rStyle w:val="Strong"/>
          <w:b w:val="0"/>
        </w:rPr>
        <w:t xml:space="preserve"> гаражи, права на которые  не зарегистрированы в Едином государственном реестре недвижимости </w:t>
      </w:r>
      <w:r>
        <w:t xml:space="preserve"> в 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 и порядок осуществления мероприятий, направленных на выявление  лиц, использующих расположенные в </w:t>
      </w:r>
      <w:r>
        <w:rPr>
          <w:rStyle w:val="Strong"/>
          <w:b w:val="0"/>
        </w:rPr>
        <w:t xml:space="preserve">границах </w:t>
      </w:r>
      <w:r>
        <w:rPr>
          <w:rStyle w:val="Strong"/>
          <w:b w:val="0"/>
        </w:rPr>
        <w:t xml:space="preserve">городского поселения Кондинское</w:t>
      </w:r>
      <w:r>
        <w:rPr>
          <w:rStyle w:val="Strong"/>
          <w:b w:val="0"/>
        </w:rPr>
        <w:t xml:space="preserve"> гаражи</w:t>
      </w:r>
      <w:r>
        <w:t xml:space="preserve">, права на которые не зарегистрированы в Едином государственном реестре недвижимости (далее – незарегистрированные гаражи).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rPr>
          <w:rStyle w:val="Strong"/>
          <w:b w:val="0"/>
        </w:rPr>
        <w:t xml:space="preserve">2. </w:t>
      </w:r>
      <w:r>
        <w:t xml:space="preserve">Мероприятия, направленные на выявление лиц, использующих незарегистрированные гаражи, включают в себя:</w:t>
      </w:r>
    </w:p>
    <w:p>
      <w:pPr>
        <w:pStyle w:val="HtmlNormal"/>
        <w:spacing w:before="0" w:beforeAutospacing="0" w:after="0" w:afterAutospacing="0"/>
        <w:ind w:firstLine="709"/>
      </w:pPr>
      <w:r>
        <w:t xml:space="preserve">1) сбор информации о незарегистрированных гаражах в границах муниципального образования </w:t>
      </w:r>
      <w:r>
        <w:t xml:space="preserve">городское поселение Кондинское</w:t>
      </w:r>
      <w:r>
        <w:t xml:space="preserve">;  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t xml:space="preserve">2) формирование перечня незарегистрированных гаражей;</w:t>
      </w:r>
    </w:p>
    <w:p>
      <w:pPr>
        <w:pStyle w:val="HtmlNormal"/>
        <w:spacing w:before="0" w:beforeAutospacing="0" w:after="0" w:afterAutospacing="0"/>
        <w:ind w:firstLine="709"/>
      </w:pPr>
      <w:r>
        <w:t xml:space="preserve">3) выявление лиц, использующих незарегистрированные гаражи в границах муниципального образования </w:t>
      </w:r>
      <w:r>
        <w:t xml:space="preserve">городское поселение Кондинское</w:t>
      </w:r>
      <w:r>
        <w:t xml:space="preserve">;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t xml:space="preserve">4) информирование граждан о способах и порядке оформления права собственности на незарегистрированные гаражи об условиях и порядке предоставления в собственность бесплатно земельных участков, на которых расположены незарегистрированные гаражи, а также порядке и способах предоставления любыми заинтересованными организациями и гражданами в органы местного самоуправления сведений о лицах, использующих незарегистрированные гаражи. 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t xml:space="preserve">5) направление запросов в органы государственной власти, органы местного самоуправления и организации с целью получения сведений о лицах, использующих незарегистрированные гаражи.</w:t>
      </w:r>
    </w:p>
    <w:p>
      <w:pPr>
        <w:pStyle w:val="HtmlNormal"/>
        <w:spacing w:before="0" w:beforeAutospacing="0" w:after="0" w:afterAutospacing="0"/>
        <w:ind w:firstLine="709"/>
        <w:jc w:val="both"/>
      </w:pPr>
    </w:p>
    <w:p>
      <w:pPr>
        <w:pStyle w:val="HtmlNormal"/>
        <w:spacing w:before="0" w:beforeAutospacing="0" w:after="0" w:afterAutospacing="0"/>
        <w:ind w:firstLine="709"/>
        <w:jc w:val="both"/>
      </w:pPr>
      <w:r>
        <w:rPr>
          <w:bCs/>
        </w:rPr>
        <w:t xml:space="preserve">3. </w:t>
      </w:r>
      <w:r>
        <w:t xml:space="preserve"> В целях сбора информации о незарегистрированных гаражах, а также выявления лиц, их использующих, администрация </w:t>
      </w:r>
      <w:r>
        <w:rPr>
          <w:bCs/>
        </w:rPr>
        <w:t xml:space="preserve">городского поселения Кондинское</w:t>
      </w:r>
      <w:r>
        <w:t xml:space="preserve"> </w:t>
      </w:r>
      <w:r>
        <w:t xml:space="preserve">(далее – поселение) осуществляет: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t xml:space="preserve">1) осмотр территории поселения;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t xml:space="preserve">2) информирование граждан о способах направления в органы местного самоуправления поселения информации о незарегистрированных гаражах;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t xml:space="preserve">3) анализ результатов ранее проведенных мероприятий по осмотру территории;</w:t>
      </w:r>
    </w:p>
    <w:p>
      <w:pPr>
        <w:pStyle w:val="HtmlNormal"/>
        <w:spacing w:before="0" w:beforeAutospacing="0" w:after="0" w:afterAutospacing="0"/>
        <w:ind w:firstLine="709"/>
        <w:jc w:val="both"/>
      </w:pPr>
      <w:r>
        <w:t xml:space="preserve">4) анализ поступающей информации;</w:t>
      </w:r>
    </w:p>
    <w:p>
      <w:pPr>
        <w:pStyle w:val="Normal"/>
        <w:ind w:firstLine="709"/>
        <w:jc w:val="both"/>
      </w:pPr>
      <w:r>
        <w:t xml:space="preserve">4. Информирование граждан о порядке оформления права собственности на незарегистрированные гаражи, об условиях и порядке предоставления в собственность бесплатно земельных участков, на которых расположены незарегистрированные гаражи, а также порядке и способах предоставления любыми заинтересованными организациями и гражданами в органы местного самоуправления сведений о лицах, использующих незарегистрированные гаражи, осуществляется органами местного самоуправления путем проведения публичных мероприятий, в том числе совещаний, круглых столов, единых дней консультаций, личного приема граждан, организации работы телефонов горячих линий, размещения соответствующих сообщений в официальных печатных изданиях органов местного самоуправления, на официальных сайтах органов местного самоуправления в информационно-телекоммуникационной сети "Интернет", на незарегистрированных гаражах, информационных стендах в границах населенных пунктов, на территориях которых расположены незарегистрированные гаражи.</w:t>
      </w:r>
    </w:p>
    <w:p>
      <w:pPr>
        <w:pStyle w:val="Normal"/>
        <w:ind w:firstLine="709"/>
        <w:jc w:val="both"/>
      </w:pPr>
      <w:r>
        <w:t xml:space="preserve">5. Учет незарегистрированных гаражей и содействие гражданам в оформлении прав на незарегистрированные гаражи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5.1</w:t>
      </w:r>
      <w:r>
        <w:t xml:space="preserve">. Перечень незарегистрированных гаражей с их описанием и указанием сведений об адресах (местоположении) утверждается и актуализируется по мере необходимости, но не реже одного раза в год в срок до 1 сентября текущего календарного года, и размещается на официальн</w:t>
      </w:r>
      <w:r>
        <w:t xml:space="preserve">ом сайте </w:t>
      </w:r>
      <w:r>
        <w:t xml:space="preserve">официальном сайте органов местного самоуправления Кондинский район</w:t>
      </w:r>
      <w:r>
        <w:t xml:space="preserve">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5.2</w:t>
      </w:r>
      <w:r>
        <w:t xml:space="preserve">.</w:t>
      </w:r>
      <w:r>
        <w:t xml:space="preserve"> </w:t>
      </w:r>
      <w:r>
        <w:t xml:space="preserve">При выявлении лиц, использующих незарегистрированные гаражи, </w:t>
      </w:r>
      <w:r>
        <w:t xml:space="preserve">администрация </w:t>
      </w:r>
      <w:r>
        <w:rPr>
          <w:bCs/>
        </w:rPr>
        <w:t xml:space="preserve">городского поселения Кондинское</w:t>
      </w:r>
      <w:r>
        <w:t xml:space="preserve"> </w:t>
      </w:r>
      <w:r>
        <w:t xml:space="preserve">вправе оказывать им содействие в приобретении прав на незарегистрированные гаражи и на земельные участки, находящиеся в государственной или муниципальной собственности, на которых расположены незарегистрированные гаражи </w:t>
      </w:r>
    </w:p>
    <w:p>
      <w:pPr>
        <w:pStyle w:val="Normal"/>
        <w:ind w:firstLine="709"/>
        <w:jc w:val="both"/>
      </w:pPr>
      <w:r>
        <w:t xml:space="preserve">5.3</w:t>
      </w:r>
      <w:r>
        <w:t xml:space="preserve">.</w:t>
      </w:r>
      <w:r>
        <w:t xml:space="preserve"> В случае, если в результате осуществления мероприятий, указанных в пункте 2, не выявлены лица, использующие незарегистрированные гаражи, администрация </w:t>
      </w:r>
      <w:r>
        <w:rPr>
          <w:bCs/>
        </w:rPr>
        <w:t xml:space="preserve">городского поселения Кондинское</w:t>
      </w:r>
      <w:r>
        <w:t xml:space="preserve"> </w:t>
      </w:r>
      <w:r>
        <w:t xml:space="preserve">вправе принимать в отношении незарегистрированных гаражей и земельных участков, находящихся в государственной или муниципальной собственности, на которых расположены незарегистрированные гаражи, меры, предусмотренные законодательством Российской Федерации</w:t>
      </w:r>
      <w:r>
        <w:t xml:space="preserve">.</w:t>
      </w:r>
      <w:r>
        <w:t xml:space="preserve"> </w:t>
      </w:r>
    </w:p>
    <w:p>
      <w:pPr>
        <w:pStyle w:val="HtmlNormal"/>
        <w:spacing w:before="0" w:beforeAutospacing="0" w:after="0" w:afterAutospacing="0"/>
        <w:jc w:val="both"/>
      </w:pPr>
    </w:p>
    <w:sectPr>
      <w:type w:val="next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698" w:leader="none"/>
        </w:tabs>
        <w:ind w:left="1698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3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40" w:hanging="720"/>
      </w:pPr>
      <w:rPr>
        <w:sz w:val="24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  <w:rPr>
        <w:sz w:val="24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520" w:hanging="1080"/>
      </w:pPr>
      <w:rPr>
        <w:sz w:val="24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  <w:rPr>
        <w:sz w:val="24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3600" w:hanging="1440"/>
      </w:pPr>
      <w:rPr>
        <w:sz w:val="24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  <w:rPr>
        <w:sz w:val="24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80" w:hanging="1800"/>
      </w:pPr>
      <w:rPr>
        <w:sz w:val="24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  <w:rPr>
        <w:sz w:val="24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3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3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6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0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0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400" w:hanging="1800"/>
      </w:pPr>
    </w:lvl>
  </w:abstractNum>
  <w:abstractNum w:abstractNumId="6">
    <w:multiLevelType w:val="hybridMultilevel"/>
    <w:lvl w:ilvl="0">
      <w:start w:val="2"/>
      <w:numFmt w:val="upperRoman"/>
      <w:suff w:val="tab"/>
      <w:lvlText w:val="%1."/>
      <w:lvlJc w:val="left"/>
      <w:pPr>
        <w:pStyle w:val="Normal"/>
        <w:tabs>
          <w:tab w:val="num" w:pos="1080" w:leader="none"/>
        </w:tabs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311" w:leader="none"/>
        </w:tabs>
        <w:ind w:left="1311" w:hanging="885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ind w:left="36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800" w:leader="none"/>
        </w:tabs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20" w:leader="none"/>
        </w:tabs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40" w:leader="none"/>
        </w:tabs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60" w:leader="none"/>
        </w:tabs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80" w:leader="none"/>
        </w:tabs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400" w:leader="none"/>
        </w:tabs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20" w:leader="none"/>
        </w:tabs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40" w:leader="none"/>
        </w:tabs>
        <w:ind w:left="684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4" w:hanging="435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  <w:rPr>
        <w:color w:val="000000"/>
      </w:rPr>
    </w:lvl>
  </w:abstractNum>
  <w:abstractNum w:abstractNumId="13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360" w:leader="none"/>
        </w:tabs>
        <w:ind w:left="360" w:hanging="360"/>
      </w:pPr>
      <w:rPr>
        <w:color w:val="000000"/>
      </w:rPr>
    </w:lvl>
    <w:lvl w:ilvl="1">
      <w:start w:val="4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360" w:hanging="36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720" w:leader="none"/>
        </w:tabs>
        <w:ind w:left="720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720" w:leader="none"/>
        </w:tabs>
        <w:ind w:left="720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080" w:leader="none"/>
        </w:tabs>
        <w:ind w:left="1080" w:hanging="108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440" w:leader="none"/>
        </w:tabs>
        <w:ind w:left="1440" w:hanging="144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1800" w:leader="none"/>
        </w:tabs>
        <w:ind w:left="1800" w:hanging="1800"/>
      </w:pPr>
      <w:rPr>
        <w:color w:val="000000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25" w:leader="none"/>
        </w:tabs>
        <w:ind w:left="1425" w:hanging="88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 w:eastAsia="en-US"/>
    </w:rPr>
  </w:style>
  <w:style w:type="paragraph" w:styleId="Heading8">
    <w:name w:val="Заголовок 8"/>
    <w:basedOn w:val="Normal"/>
    <w:next w:val="Normal"/>
    <w:link w:val="UserStyle_1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UserStyle_2">
    <w:name w:val="ConsPlusNormal"/>
    <w:next w:val="UserStyle_2"/>
    <w:link w:val="UserStyle_3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UserStyle_4">
    <w:name w:val="Default"/>
    <w:next w:val="UserStyle_4"/>
    <w:link w:val="Normal"/>
    <w:rPr>
      <w:color w:val="000000"/>
      <w:sz w:val="24"/>
      <w:szCs w:val="24"/>
      <w:lang w:val="ru-RU" w:eastAsia="ru-RU" w:bidi="ar-SA"/>
    </w:rPr>
  </w:style>
  <w:style w:type="character" w:styleId="UserStyle_5">
    <w:name w:val="Гипертекстовая ссылка"/>
    <w:next w:val="UserStyle_5"/>
    <w:link w:val="Normal"/>
    <w:uiPriority w:val="99"/>
    <w:rPr>
      <w:color w:val="008000"/>
    </w:rPr>
  </w:style>
  <w:style w:type="paragraph" w:styleId="UserStyle_6">
    <w:name w:val="Прижатый влево"/>
    <w:basedOn w:val="Normal"/>
    <w:next w:val="Normal"/>
    <w:link w:val="Normal"/>
    <w:rPr>
      <w:rFonts w:ascii="Arial" w:hAnsi="Arial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7">
    <w:name w:val="ConsPlusNonformat"/>
    <w:next w:val="UserStyle_7"/>
    <w:link w:val="Normal"/>
    <w:rPr>
      <w:rFonts w:ascii="Courier New" w:hAnsi="Courier New" w:eastAsia="Calibri" w:cs="Courier New"/>
      <w:lang w:val="ru-RU" w:eastAsia="ru-RU" w:bidi="ar-SA"/>
    </w:rPr>
  </w:style>
  <w:style w:type="paragraph" w:styleId="User">
    <w:name w:val="Без интервала"/>
    <w:next w:val="User"/>
    <w:link w:val="UserStyle_8"/>
    <w:qFormat/>
    <w:rPr>
      <w:rFonts w:ascii="Calibri" w:hAnsi="Calibri" w:eastAsia="Calibri"/>
      <w:sz w:val="22"/>
      <w:szCs w:val="22"/>
      <w:lang w:eastAsia="en-US" w:bidi="ar-SA"/>
    </w:rPr>
  </w:style>
  <w:style w:type="character" w:styleId="UserStyle_0">
    <w:name w:val="Заголовок 1 Знак"/>
    <w:next w:val="UserStyle_0"/>
    <w:link w:val="Heading1"/>
    <w:rPr>
      <w:rFonts w:ascii="Arial" w:hAnsi="Arial" w:cs="Arial"/>
      <w:b/>
      <w:bCs/>
      <w:sz w:val="32"/>
      <w:szCs w:val="32"/>
    </w:rPr>
  </w:style>
  <w:style w:type="character" w:styleId="UserStyle_9">
    <w:name w:val="Цветовое выделение"/>
    <w:next w:val="UserStyle_9"/>
    <w:link w:val="Normal"/>
    <w:uiPriority w:val="99"/>
    <w:rPr>
      <w:b/>
      <w:bCs/>
      <w:color w:val="26282f"/>
    </w:rPr>
  </w:style>
  <w:style w:type="character" w:styleId="UserStyle_8">
    <w:name w:val="Без интервала Знак"/>
    <w:next w:val="UserStyle_8"/>
    <w:link w:val="User"/>
    <w:locked/>
    <w:rPr>
      <w:rFonts w:ascii="Calibri" w:hAnsi="Calibri" w:eastAsia="Calibri"/>
      <w:sz w:val="22"/>
      <w:szCs w:val="22"/>
      <w:lang w:eastAsia="en-US" w:bidi="ar-SA"/>
    </w:rPr>
  </w:style>
  <w:style w:type="paragraph" w:styleId="BodyText3">
    <w:name w:val="Основной текст 3"/>
    <w:basedOn w:val="Normal"/>
    <w:next w:val="BodyText3"/>
    <w:link w:val="UserStyle_10"/>
    <w:pPr>
      <w:jc w:val="center"/>
    </w:pPr>
    <w:rPr>
      <w:b/>
      <w:bCs/>
      <w:sz w:val="28"/>
      <w:lang w:val="en-US" w:eastAsia="en-US"/>
    </w:rPr>
  </w:style>
  <w:style w:type="character" w:styleId="UserStyle_10">
    <w:name w:val="Основной текст 3 Знак"/>
    <w:next w:val="UserStyle_10"/>
    <w:link w:val="BodyText3"/>
    <w:rPr>
      <w:b/>
      <w:bCs/>
      <w:sz w:val="28"/>
      <w:szCs w:val="24"/>
    </w:rPr>
  </w:style>
  <w:style w:type="paragraph" w:styleId="UserStyle_11">
    <w:name w:val="ConsPlusTitle"/>
    <w:next w:val="UserStyle_11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12">
    <w:name w:val="formattext"/>
    <w:basedOn w:val="Normal"/>
    <w:next w:val="UserStyle_12"/>
    <w:link w:val="Normal"/>
    <w:pPr>
      <w:spacing w:before="100" w:beforeAutospacing="1" w:after="100" w:afterAutospacing="1"/>
    </w:pPr>
  </w:style>
  <w:style w:type="paragraph" w:styleId="UserStyle_13">
    <w:name w:val="headertext"/>
    <w:basedOn w:val="Normal"/>
    <w:next w:val="UserStyle_13"/>
    <w:link w:val="Normal"/>
    <w:pPr>
      <w:spacing w:before="100" w:beforeAutospacing="1" w:after="100" w:afterAutospacing="1"/>
    </w:pPr>
  </w:style>
  <w:style w:type="character" w:styleId="UserStyle_14">
    <w:name w:val="namedoc"/>
    <w:basedOn w:val="NormalCharacter"/>
    <w:next w:val="UserStyle_14"/>
    <w:link w:val="Normal"/>
  </w:style>
  <w:style w:type="character" w:styleId="UserStyle_3">
    <w:name w:val="ConsPlusNormal Знак"/>
    <w:next w:val="UserStyle_3"/>
    <w:link w:val="UserStyle_2"/>
    <w:locked/>
    <w:rPr>
      <w:rFonts w:ascii="Arial" w:hAnsi="Arial" w:cs="Arial"/>
      <w:lang w:val="ru-RU" w:eastAsia="ru-RU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BodyTextIndent">
    <w:name w:val="Основной текст с отступом"/>
    <w:basedOn w:val="Normal"/>
    <w:next w:val="BodyTextIndent"/>
    <w:link w:val="UserStyle_15"/>
    <w:pPr>
      <w:spacing w:after="120"/>
      <w:ind w:left="283"/>
    </w:pPr>
  </w:style>
  <w:style w:type="character" w:styleId="UserStyle_15">
    <w:name w:val="Основной текст с отступом Знак"/>
    <w:basedOn w:val="NormalCharacter"/>
    <w:next w:val="UserStyle_15"/>
    <w:link w:val="BodyTextIndent"/>
    <w:rPr>
      <w:sz w:val="24"/>
      <w:szCs w:val="24"/>
    </w:rPr>
  </w:style>
  <w:style w:type="character" w:styleId="UserStyle_1">
    <w:name w:val="Заголовок 8 Знак"/>
    <w:basedOn w:val="NormalCharacter"/>
    <w:next w:val="UserStyle_1"/>
    <w:link w:val="Heading8"/>
    <w:semiHidden/>
    <w:rPr>
      <w:rFonts w:ascii="Calibri" w:hAnsi="Calibri"/>
      <w:i/>
      <w:iCs/>
      <w:sz w:val="24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5630</Characters>
  <CharactersWithSpaces>6604</CharactersWithSpaces>
  <Company>Microsoft</Company>
  <DocSecurity>0</DocSecurity>
  <HyperlinksChanged>false</HyperlinksChanged>
  <Lines>46</Lines>
  <Pages>3</Pages>
  <Paragraphs>13</Paragraphs>
  <ScaleCrop>false</ScaleCrop>
  <SharedDoc>false</SharedDoc>
  <Template>Normal</Template>
  <Words>987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Doronina</cp:lastModifiedBy>
  <cp:revision>4</cp:revision>
  <dcterms:created xsi:type="dcterms:W3CDTF">2023-06-23T08:35:00Z</dcterms:created>
  <dcterms:modified xsi:type="dcterms:W3CDTF">2023-07-03T11:19:00Z</dcterms:modified>
  <cp:version>786432</cp:version>
</cp:coreProperties>
</file>