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C4" w:rsidRPr="00226B93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 w:rsidRPr="00226B93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6A4AC4" w:rsidRPr="00226B93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26B93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6A4AC4" w:rsidRPr="00226B93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26B93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226B93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6A4AC4" w:rsidRPr="00226B93" w:rsidRDefault="006A4AC4" w:rsidP="006A4A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5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6"/>
        <w:gridCol w:w="413"/>
        <w:gridCol w:w="4931"/>
        <w:gridCol w:w="4358"/>
      </w:tblGrid>
      <w:tr w:rsidR="006A4AC4" w:rsidRPr="00226B93" w:rsidTr="00EF5C01">
        <w:trPr>
          <w:trHeight w:val="91"/>
        </w:trPr>
        <w:tc>
          <w:tcPr>
            <w:tcW w:w="477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1369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1" w:type="pct"/>
            <w:tcMar>
              <w:top w:w="0" w:type="dxa"/>
              <w:bottom w:w="0" w:type="dxa"/>
            </w:tcMar>
          </w:tcPr>
          <w:p w:rsidR="006A4AC4" w:rsidRPr="00226B93" w:rsidRDefault="006A4AC4" w:rsidP="001369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1369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6A4AC4" w:rsidRPr="00226B93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13691E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lang w:eastAsia="en-US"/>
              </w:rPr>
            </w:pPr>
            <w:r w:rsidRPr="00226B93">
              <w:rPr>
                <w:rFonts w:eastAsia="font332"/>
                <w:lang w:eastAsia="en-US"/>
              </w:rPr>
              <w:t xml:space="preserve">Решение Совета депутатов от 14.11.2014  № 97 "Об установлении на территории муниципального образования городское поселение Междуреченский  налога на имущество физических лиц" (изм.  от </w:t>
            </w:r>
            <w:r w:rsidR="0013691E" w:rsidRPr="00226B93">
              <w:rPr>
                <w:rFonts w:eastAsia="font332"/>
                <w:lang w:eastAsia="en-US"/>
              </w:rPr>
              <w:t xml:space="preserve">15.08.2018г. №370, от </w:t>
            </w:r>
            <w:r w:rsidRPr="00226B93">
              <w:rPr>
                <w:rFonts w:eastAsia="font332"/>
                <w:lang w:eastAsia="en-US"/>
              </w:rPr>
              <w:t>26.09.2019</w:t>
            </w:r>
            <w:r w:rsidR="0013691E" w:rsidRPr="00226B93">
              <w:rPr>
                <w:rFonts w:eastAsia="font332"/>
                <w:lang w:eastAsia="en-US"/>
              </w:rPr>
              <w:t>г.</w:t>
            </w:r>
            <w:r w:rsidRPr="00226B93">
              <w:rPr>
                <w:rFonts w:eastAsia="font332"/>
                <w:lang w:eastAsia="en-US"/>
              </w:rPr>
              <w:t xml:space="preserve">  №48) п. 3.1.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Объекты налогообложения, включенные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объекты налогообложения, кадастровая стоимость каждого из которых превышает 300 миллионов рублей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Физические лица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27 сентября 2019 года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</w:t>
            </w:r>
            <w:proofErr w:type="gramStart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01 января 2017 года</w:t>
            </w:r>
          </w:p>
        </w:tc>
      </w:tr>
      <w:tr w:rsidR="006A4AC4" w:rsidRPr="00226B93" w:rsidTr="0013691E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13691E">
            <w:proofErr w:type="gramStart"/>
            <w:r w:rsidRPr="00226B93">
              <w:t>Неограниченный</w:t>
            </w:r>
            <w:proofErr w:type="gramEnd"/>
            <w:r w:rsidRPr="00226B93">
              <w:t xml:space="preserve"> (до даты прекращения действия льготы)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Не установлено</w:t>
            </w:r>
          </w:p>
        </w:tc>
      </w:tr>
      <w:tr w:rsidR="006A4AC4" w:rsidRPr="00226B93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Целевые характеристики налогового расхода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13691E">
            <w:pPr>
              <w:jc w:val="both"/>
            </w:pPr>
            <w:proofErr w:type="gramStart"/>
            <w:r w:rsidRPr="00226B93">
              <w:t>Пониженная ставка 05 %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      </w:r>
            <w:proofErr w:type="gramEnd"/>
          </w:p>
        </w:tc>
      </w:tr>
      <w:tr w:rsidR="006A4AC4" w:rsidRPr="00226B93" w:rsidTr="00EF5C01">
        <w:trPr>
          <w:trHeight w:val="429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D368FC" w:rsidP="00EF5C01">
            <w:pPr>
              <w:jc w:val="both"/>
            </w:pPr>
            <w:r w:rsidRPr="00226B93">
              <w:t>Стимулирующий налоговый расход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13691E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в муниципальном образовании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Налог на имущество физических лиц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957BD2" w:rsidP="00EF5C01">
            <w:pPr>
              <w:jc w:val="both"/>
            </w:pPr>
            <w:r w:rsidRPr="00226B93">
              <w:t>Снижение налоговой ставки с 2% до 0,5%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jc w:val="both"/>
            </w:pPr>
            <w:r w:rsidRPr="00226B93">
              <w:t>0,5% – с 01.01.2017 года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957BD2" w:rsidP="00957BD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26B93">
              <w:t>Постановление администрации Кондинского района от 14.11.2022г. № 2449 «О муниципальной программе Кондинского района «</w:t>
            </w:r>
            <w:r w:rsidR="006A4AC4" w:rsidRPr="00226B93">
              <w:t>Развитие малого</w:t>
            </w:r>
            <w:r w:rsidRPr="00226B93">
              <w:t xml:space="preserve"> и среднего предпринимательства» 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957BD2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численности занятых в сфере малого и среднего предпринимательства, включая индивидуальных предпринимателей, человек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A526B8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 1010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A526B8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6A4AC4" w:rsidRPr="00226B93" w:rsidRDefault="00A526B8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2024 год – 1012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6A4AC4" w:rsidRPr="00226B93" w:rsidRDefault="00A526B8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2025 год – 1013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6A4AC4" w:rsidRPr="00226B93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A4AC4" w:rsidRPr="00226B93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C63041" w:rsidRPr="00226B93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6B93">
              <w:rPr>
                <w:rFonts w:eastAsiaTheme="minorHAnsi"/>
                <w:lang w:eastAsia="en-US"/>
              </w:rPr>
              <w:t>2018 год – 2 805 тыс. рублей</w:t>
            </w:r>
          </w:p>
          <w:p w:rsidR="00C63041" w:rsidRPr="00226B93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6B93">
              <w:rPr>
                <w:rFonts w:eastAsiaTheme="minorHAnsi"/>
                <w:lang w:eastAsia="en-US"/>
              </w:rPr>
              <w:t>2019 год – 3 186 тыс. рублей</w:t>
            </w:r>
          </w:p>
          <w:p w:rsidR="00C63041" w:rsidRPr="00226B93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6B93">
              <w:rPr>
                <w:rFonts w:eastAsiaTheme="minorHAnsi"/>
                <w:lang w:eastAsia="en-US"/>
              </w:rPr>
              <w:t>2020 год – 4 224 тыс. рублей</w:t>
            </w:r>
          </w:p>
          <w:p w:rsidR="00C63041" w:rsidRPr="00226B93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6B93">
              <w:rPr>
                <w:rFonts w:eastAsiaTheme="minorHAnsi"/>
                <w:lang w:eastAsia="en-US"/>
              </w:rPr>
              <w:t>2021 год – 4 356 тыс. рублей</w:t>
            </w:r>
          </w:p>
          <w:p w:rsidR="006A4AC4" w:rsidRPr="00226B93" w:rsidRDefault="00C63041" w:rsidP="00C6304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6B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 год – 4 077 тыс. рублей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957BD2" w:rsidP="00EF5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C63041" w:rsidRPr="00226B93" w:rsidRDefault="00C63041" w:rsidP="00C63041">
            <w:pPr>
              <w:jc w:val="both"/>
            </w:pPr>
            <w:r w:rsidRPr="00226B93">
              <w:rPr>
                <w:rFonts w:eastAsiaTheme="minorHAnsi"/>
                <w:lang w:eastAsia="en-US"/>
              </w:rPr>
              <w:t>2023 год – 4 077 тыс. рублей</w:t>
            </w:r>
          </w:p>
          <w:p w:rsidR="00C63041" w:rsidRPr="00226B93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6B93">
              <w:rPr>
                <w:rFonts w:eastAsiaTheme="minorHAnsi"/>
                <w:lang w:eastAsia="en-US"/>
              </w:rPr>
              <w:t>2024 год – 4 077 тыс. рублей</w:t>
            </w:r>
          </w:p>
          <w:p w:rsidR="006A4AC4" w:rsidRPr="00226B93" w:rsidRDefault="00C63041" w:rsidP="00C63041">
            <w:pPr>
              <w:jc w:val="both"/>
            </w:pPr>
            <w:r w:rsidRPr="00226B93">
              <w:rPr>
                <w:rFonts w:eastAsiaTheme="minorHAnsi"/>
                <w:lang w:eastAsia="en-US"/>
              </w:rPr>
              <w:t>2025 год – 4 077 тыс. рублей</w:t>
            </w:r>
          </w:p>
          <w:p w:rsidR="006A4AC4" w:rsidRPr="00226B93" w:rsidRDefault="006A4AC4" w:rsidP="00EF5C01">
            <w:pPr>
              <w:jc w:val="both"/>
              <w:rPr>
                <w:color w:val="FF0000"/>
              </w:rPr>
            </w:pP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C63041" w:rsidP="00EF5C01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26B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6130 единиц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C63041" w:rsidP="00C63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6A4AC4" w:rsidRPr="00226B93">
              <w:rPr>
                <w:rFonts w:ascii="Times New Roman" w:hAnsi="Times New Roman" w:cs="Times New Roman"/>
                <w:sz w:val="24"/>
                <w:szCs w:val="24"/>
              </w:rPr>
              <w:t xml:space="preserve">  единиц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C63041" w:rsidP="00EF5C01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26B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4 486 тыс. рублей</w:t>
            </w:r>
          </w:p>
        </w:tc>
      </w:tr>
      <w:tr w:rsidR="006A4AC4" w:rsidRPr="00226B93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226B93" w:rsidRDefault="006A4AC4" w:rsidP="00957B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BD2" w:rsidRPr="00226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226B93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C4" w:rsidRPr="00226B93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26B93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6A4AC4" w:rsidRPr="00226B93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361CA" w:rsidRPr="00226B93" w:rsidRDefault="00E361CA" w:rsidP="00957BD2"/>
    <w:sectPr w:rsidR="00E361CA" w:rsidRPr="00226B93" w:rsidSect="00EF5C01">
      <w:headerReference w:type="default" r:id="rId8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01" w:rsidRDefault="00EF5C01" w:rsidP="00096832">
      <w:r>
        <w:separator/>
      </w:r>
    </w:p>
  </w:endnote>
  <w:endnote w:type="continuationSeparator" w:id="0">
    <w:p w:rsidR="00EF5C01" w:rsidRDefault="00EF5C01" w:rsidP="0009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01" w:rsidRDefault="00EF5C01" w:rsidP="00096832">
      <w:r>
        <w:separator/>
      </w:r>
    </w:p>
  </w:footnote>
  <w:footnote w:type="continuationSeparator" w:id="0">
    <w:p w:rsidR="00EF5C01" w:rsidRDefault="00EF5C01" w:rsidP="0009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C01" w:rsidRDefault="00EF5C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AC4"/>
    <w:rsid w:val="00016202"/>
    <w:rsid w:val="0004001F"/>
    <w:rsid w:val="00043EE0"/>
    <w:rsid w:val="00096832"/>
    <w:rsid w:val="000A08AC"/>
    <w:rsid w:val="0013691E"/>
    <w:rsid w:val="001451DC"/>
    <w:rsid w:val="00195400"/>
    <w:rsid w:val="00226B93"/>
    <w:rsid w:val="0027300D"/>
    <w:rsid w:val="002D60BB"/>
    <w:rsid w:val="00334D99"/>
    <w:rsid w:val="00404E64"/>
    <w:rsid w:val="00411AE3"/>
    <w:rsid w:val="00471B4C"/>
    <w:rsid w:val="004F33C9"/>
    <w:rsid w:val="006A4AC4"/>
    <w:rsid w:val="007279E8"/>
    <w:rsid w:val="00800AF3"/>
    <w:rsid w:val="008A3F8F"/>
    <w:rsid w:val="00901901"/>
    <w:rsid w:val="00957BD2"/>
    <w:rsid w:val="00961B1C"/>
    <w:rsid w:val="009A2245"/>
    <w:rsid w:val="009B6A58"/>
    <w:rsid w:val="009E03DC"/>
    <w:rsid w:val="009E4CC1"/>
    <w:rsid w:val="00A35855"/>
    <w:rsid w:val="00A526B8"/>
    <w:rsid w:val="00A913BF"/>
    <w:rsid w:val="00AD07F5"/>
    <w:rsid w:val="00B3445E"/>
    <w:rsid w:val="00BC5704"/>
    <w:rsid w:val="00C5263A"/>
    <w:rsid w:val="00C63041"/>
    <w:rsid w:val="00CB4BF0"/>
    <w:rsid w:val="00CC1D55"/>
    <w:rsid w:val="00CD031E"/>
    <w:rsid w:val="00D368FC"/>
    <w:rsid w:val="00D82AB7"/>
    <w:rsid w:val="00D91140"/>
    <w:rsid w:val="00E361CA"/>
    <w:rsid w:val="00EA33D8"/>
    <w:rsid w:val="00EF5C01"/>
    <w:rsid w:val="00EF774F"/>
    <w:rsid w:val="00F8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6A4AC4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6A4AC4"/>
    <w:rPr>
      <w:rFonts w:ascii="TimesET" w:eastAsia="Times New Roman" w:hAnsi="TimesET" w:cs="Times New Roman"/>
      <w:sz w:val="28"/>
      <w:szCs w:val="24"/>
    </w:rPr>
  </w:style>
  <w:style w:type="paragraph" w:styleId="a3">
    <w:name w:val="header"/>
    <w:aliases w:val="заголовок 6,ВерхКолонтитул,I.L.T.,Верхний колонтитул Знак1 Знак,Верхний колонтитул Знак Знак Знак,??????? ??????????,header-first,HeaderPort,Знак7, Знак7"/>
    <w:basedOn w:val="a"/>
    <w:link w:val="a4"/>
    <w:uiPriority w:val="99"/>
    <w:rsid w:val="006A4A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аголовок 6 Знак,ВерхКолонтитул Знак,I.L.T. Знак,Верхний колонтитул Знак1 Знак Знак,Верхний колонтитул Знак Знак Знак Знак,??????? ?????????? Знак,header-first Знак,HeaderPort Знак,Знак7 Знак, Знак7 Знак"/>
    <w:basedOn w:val="a0"/>
    <w:link w:val="a3"/>
    <w:uiPriority w:val="99"/>
    <w:rsid w:val="006A4AC4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ипертекстовая ссылка"/>
    <w:uiPriority w:val="99"/>
    <w:rsid w:val="006A4AC4"/>
    <w:rPr>
      <w:b/>
      <w:bCs/>
      <w:color w:val="008000"/>
    </w:rPr>
  </w:style>
  <w:style w:type="paragraph" w:customStyle="1" w:styleId="ConsPlusNormal">
    <w:name w:val="ConsPlusNormal"/>
    <w:link w:val="ConsPlusNormal0"/>
    <w:rsid w:val="006A4A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4A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4AC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">
    <w:name w:val="Body Text Indent 3"/>
    <w:basedOn w:val="a"/>
    <w:link w:val="30"/>
    <w:rsid w:val="006A4AC4"/>
    <w:pPr>
      <w:framePr w:w="8800" w:h="1060" w:hRule="exact" w:hSpace="80" w:vSpace="40" w:wrap="auto" w:vAnchor="text" w:hAnchor="margin" w:x="1" w:y="21" w:anchorLock="1"/>
      <w:widowControl w:val="0"/>
      <w:ind w:left="1720" w:hanging="1720"/>
      <w:jc w:val="both"/>
    </w:pPr>
    <w:rPr>
      <w:rFonts w:ascii="Courier New" w:hAnsi="Courier New"/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6A4AC4"/>
    <w:rPr>
      <w:rFonts w:ascii="Courier New" w:eastAsia="Times New Roman" w:hAnsi="Courier New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F20D7-E87D-4823-90CB-E6C1D70B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021501</dc:creator>
  <cp:keywords/>
  <dc:description/>
  <cp:lastModifiedBy>022206</cp:lastModifiedBy>
  <cp:revision>41</cp:revision>
  <dcterms:created xsi:type="dcterms:W3CDTF">2023-08-07T11:48:00Z</dcterms:created>
  <dcterms:modified xsi:type="dcterms:W3CDTF">2023-09-12T10:18:00Z</dcterms:modified>
</cp:coreProperties>
</file>