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Кондинского района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Югры</w:t>
      </w:r>
    </w:p>
    <w:p w:rsidR="005C75CC" w:rsidRPr="007333FC" w:rsidRDefault="005C75CC" w:rsidP="005C75CC"/>
    <w:p w:rsidR="005C75CC" w:rsidRPr="001C2543" w:rsidRDefault="005C75CC" w:rsidP="005C75CC">
      <w:pPr>
        <w:pStyle w:val="3"/>
        <w:rPr>
          <w:sz w:val="32"/>
        </w:rPr>
      </w:pPr>
      <w:r w:rsidRPr="001C2543">
        <w:rPr>
          <w:sz w:val="32"/>
        </w:rPr>
        <w:t>ПОСТАНОВЛЕНИЕ</w:t>
      </w:r>
    </w:p>
    <w:p w:rsidR="005C75CC" w:rsidRPr="005B3996" w:rsidRDefault="005C75CC" w:rsidP="005C75CC"/>
    <w:p w:rsidR="005C75CC" w:rsidRPr="00E94ABC" w:rsidRDefault="005C75CC" w:rsidP="005C75CC">
      <w:pPr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от </w:t>
      </w:r>
      <w:r w:rsidR="00A22B6E">
        <w:rPr>
          <w:sz w:val="26"/>
          <w:szCs w:val="26"/>
        </w:rPr>
        <w:t>26 марта</w:t>
      </w:r>
      <w:r w:rsidRPr="00E94ABC">
        <w:rPr>
          <w:sz w:val="26"/>
          <w:szCs w:val="26"/>
        </w:rPr>
        <w:t xml:space="preserve"> 201</w:t>
      </w:r>
      <w:r w:rsidR="0069468D">
        <w:rPr>
          <w:sz w:val="26"/>
          <w:szCs w:val="26"/>
        </w:rPr>
        <w:t>5</w:t>
      </w:r>
      <w:r w:rsidRPr="00E94ABC">
        <w:rPr>
          <w:sz w:val="26"/>
          <w:szCs w:val="26"/>
        </w:rPr>
        <w:t xml:space="preserve"> года </w:t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  <w:t xml:space="preserve">        </w:t>
      </w:r>
      <w:r w:rsidRPr="00E94ABC">
        <w:rPr>
          <w:sz w:val="26"/>
          <w:szCs w:val="26"/>
        </w:rPr>
        <w:tab/>
        <w:t xml:space="preserve">                 </w:t>
      </w:r>
      <w:r w:rsidRPr="00E94ABC">
        <w:rPr>
          <w:sz w:val="26"/>
          <w:szCs w:val="26"/>
        </w:rPr>
        <w:tab/>
        <w:t xml:space="preserve">    </w:t>
      </w:r>
      <w:r w:rsidR="001C2543">
        <w:rPr>
          <w:sz w:val="26"/>
          <w:szCs w:val="26"/>
        </w:rPr>
        <w:tab/>
      </w:r>
      <w:r w:rsidR="00A22B6E">
        <w:rPr>
          <w:sz w:val="26"/>
          <w:szCs w:val="26"/>
        </w:rPr>
        <w:t xml:space="preserve">          </w:t>
      </w:r>
      <w:r w:rsidRPr="00E94ABC">
        <w:rPr>
          <w:sz w:val="26"/>
          <w:szCs w:val="26"/>
        </w:rPr>
        <w:t xml:space="preserve">  №</w:t>
      </w:r>
      <w:r w:rsidR="001C2543">
        <w:rPr>
          <w:sz w:val="26"/>
          <w:szCs w:val="26"/>
        </w:rPr>
        <w:t xml:space="preserve"> </w:t>
      </w:r>
      <w:r w:rsidR="00A22B6E">
        <w:rPr>
          <w:sz w:val="26"/>
          <w:szCs w:val="26"/>
        </w:rPr>
        <w:t>24</w:t>
      </w:r>
    </w:p>
    <w:p w:rsidR="005C75CC" w:rsidRPr="00E94ABC" w:rsidRDefault="005C75CC" w:rsidP="005C75CC">
      <w:pPr>
        <w:rPr>
          <w:sz w:val="26"/>
          <w:szCs w:val="26"/>
        </w:rPr>
      </w:pPr>
      <w:r w:rsidRPr="00E94ABC">
        <w:rPr>
          <w:sz w:val="26"/>
          <w:szCs w:val="26"/>
        </w:rPr>
        <w:t>пгт. Кондинское</w:t>
      </w:r>
    </w:p>
    <w:p w:rsidR="00607BD5" w:rsidRPr="00E94ABC" w:rsidRDefault="00607BD5" w:rsidP="00607BD5">
      <w:pPr>
        <w:shd w:val="clear" w:color="auto" w:fill="FFFFFF"/>
        <w:jc w:val="center"/>
        <w:rPr>
          <w:bCs/>
          <w:spacing w:val="2"/>
          <w:sz w:val="26"/>
          <w:szCs w:val="26"/>
        </w:rPr>
      </w:pPr>
    </w:p>
    <w:p w:rsidR="000011F7" w:rsidRDefault="000011F7" w:rsidP="000011F7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 внесении изменений в постановление </w:t>
      </w:r>
    </w:p>
    <w:p w:rsidR="000011F7" w:rsidRDefault="000011F7" w:rsidP="000011F7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администрации городского поселения </w:t>
      </w:r>
    </w:p>
    <w:p w:rsidR="000011F7" w:rsidRDefault="000011F7" w:rsidP="000011F7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Кондинское от 28 ноября 2012 года № 124 </w:t>
      </w:r>
    </w:p>
    <w:p w:rsidR="000011F7" w:rsidRDefault="000011F7" w:rsidP="000011F7">
      <w:pPr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 xml:space="preserve">о оплате </w:t>
      </w:r>
    </w:p>
    <w:p w:rsidR="000011F7" w:rsidRDefault="000011F7" w:rsidP="000011F7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 xml:space="preserve">труда и материальном стимулировании </w:t>
      </w:r>
    </w:p>
    <w:p w:rsidR="000011F7" w:rsidRPr="001C2543" w:rsidRDefault="000011F7" w:rsidP="000011F7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>работников военно-учетного стола администрации</w:t>
      </w:r>
    </w:p>
    <w:p w:rsidR="000011F7" w:rsidRPr="00E94ABC" w:rsidRDefault="000011F7" w:rsidP="000011F7">
      <w:pPr>
        <w:widowControl w:val="0"/>
        <w:jc w:val="both"/>
        <w:rPr>
          <w:b/>
          <w:sz w:val="26"/>
          <w:szCs w:val="26"/>
        </w:rPr>
      </w:pP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</w:t>
      </w:r>
    </w:p>
    <w:p w:rsidR="000011F7" w:rsidRPr="00E94ABC" w:rsidRDefault="000011F7" w:rsidP="000011F7">
      <w:pPr>
        <w:rPr>
          <w:sz w:val="26"/>
          <w:szCs w:val="26"/>
        </w:rPr>
      </w:pPr>
    </w:p>
    <w:p w:rsidR="000011F7" w:rsidRPr="00E94ABC" w:rsidRDefault="000011F7" w:rsidP="000011F7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На основании Трудового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и Устава городского поселения Кондинское</w:t>
      </w:r>
      <w:r>
        <w:rPr>
          <w:sz w:val="26"/>
          <w:szCs w:val="26"/>
        </w:rPr>
        <w:t xml:space="preserve">, </w:t>
      </w:r>
      <w:r w:rsidRPr="006B0A75">
        <w:rPr>
          <w:sz w:val="26"/>
          <w:szCs w:val="26"/>
        </w:rPr>
        <w:t>в целях материального стимулирования и дальнейшего</w:t>
      </w:r>
      <w:r>
        <w:rPr>
          <w:sz w:val="26"/>
          <w:szCs w:val="26"/>
        </w:rPr>
        <w:t xml:space="preserve"> повышения эффективности работы</w:t>
      </w:r>
      <w:r w:rsidRPr="00E94ABC">
        <w:rPr>
          <w:sz w:val="26"/>
          <w:szCs w:val="26"/>
        </w:rPr>
        <w:t>:</w:t>
      </w:r>
    </w:p>
    <w:p w:rsidR="00411F30" w:rsidRDefault="000011F7" w:rsidP="00411F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94ABC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изменения в постановление </w:t>
      </w:r>
      <w:r>
        <w:rPr>
          <w:snapToGrid w:val="0"/>
          <w:sz w:val="26"/>
          <w:szCs w:val="26"/>
        </w:rPr>
        <w:t>администрации городского поселения Кондинское от 28 ноября 2012 года № 124 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>о оплате труда и материальном стимулировании работников военно-учетного стола администрации</w:t>
      </w:r>
      <w:r>
        <w:rPr>
          <w:sz w:val="26"/>
          <w:szCs w:val="26"/>
        </w:rPr>
        <w:t xml:space="preserve"> </w:t>
      </w: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»:</w:t>
      </w:r>
    </w:p>
    <w:p w:rsidR="00411F30" w:rsidRDefault="00411F30" w:rsidP="00411F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Пункт 2 статьи 2 «</w:t>
      </w:r>
      <w:r w:rsidRPr="00411F30">
        <w:rPr>
          <w:sz w:val="26"/>
          <w:szCs w:val="26"/>
        </w:rPr>
        <w:t>Основные условия оплаты</w:t>
      </w:r>
      <w:r>
        <w:rPr>
          <w:sz w:val="26"/>
          <w:szCs w:val="26"/>
        </w:rPr>
        <w:t>» изложить в новой редакции:</w:t>
      </w:r>
    </w:p>
    <w:p w:rsidR="00411F30" w:rsidRPr="00E94ABC" w:rsidRDefault="00411F30" w:rsidP="00411F3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94ABC">
        <w:rPr>
          <w:sz w:val="26"/>
          <w:szCs w:val="26"/>
        </w:rPr>
        <w:t>2. В состав оплаты труда и материального стимулирования включаются:</w:t>
      </w:r>
    </w:p>
    <w:p w:rsidR="00411F30" w:rsidRPr="00E94ABC" w:rsidRDefault="00411F30" w:rsidP="00411F30">
      <w:pPr>
        <w:widowControl w:val="0"/>
        <w:ind w:firstLine="709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а) должностной оклад;</w:t>
      </w:r>
    </w:p>
    <w:p w:rsidR="00411F30" w:rsidRPr="00E94ABC" w:rsidRDefault="00411F30" w:rsidP="00411F30">
      <w:pPr>
        <w:widowControl w:val="0"/>
        <w:ind w:firstLine="709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б) ежемесячной надбавки к должностному окладу за выслугу лет;</w:t>
      </w:r>
    </w:p>
    <w:p w:rsidR="00411F30" w:rsidRPr="00E94ABC" w:rsidRDefault="00411F30" w:rsidP="00411F30">
      <w:pPr>
        <w:widowControl w:val="0"/>
        <w:ind w:firstLine="709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в) ежемесячное денежное поощрение;</w:t>
      </w:r>
    </w:p>
    <w:p w:rsidR="00411F30" w:rsidRPr="00E94ABC" w:rsidRDefault="00411F30" w:rsidP="00411F3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E94ABC">
        <w:rPr>
          <w:sz w:val="26"/>
          <w:szCs w:val="26"/>
        </w:rPr>
        <w:t xml:space="preserve">) премии по результатам работы за </w:t>
      </w:r>
      <w:r>
        <w:rPr>
          <w:sz w:val="26"/>
          <w:szCs w:val="26"/>
        </w:rPr>
        <w:t xml:space="preserve">квартал, </w:t>
      </w:r>
      <w:r w:rsidRPr="00E94ABC">
        <w:rPr>
          <w:sz w:val="26"/>
          <w:szCs w:val="26"/>
        </w:rPr>
        <w:t>год;</w:t>
      </w:r>
    </w:p>
    <w:p w:rsidR="00BC7DBC" w:rsidRDefault="00411F30" w:rsidP="00BC7D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94ABC">
        <w:rPr>
          <w:sz w:val="26"/>
          <w:szCs w:val="26"/>
        </w:rPr>
        <w:t>) единовременная выплата при предоставлении ежегодного отпуска.</w:t>
      </w:r>
      <w:r>
        <w:rPr>
          <w:sz w:val="26"/>
          <w:szCs w:val="26"/>
        </w:rPr>
        <w:t>».</w:t>
      </w:r>
    </w:p>
    <w:p w:rsidR="005D315E" w:rsidRDefault="005D315E" w:rsidP="00BC7D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Наименование статьи 5 «</w:t>
      </w:r>
      <w:r w:rsidRPr="00BC7DBC">
        <w:rPr>
          <w:sz w:val="26"/>
          <w:szCs w:val="26"/>
        </w:rPr>
        <w:t>Порядок и условия выплаты премии по итогам работы за год</w:t>
      </w:r>
      <w:r>
        <w:rPr>
          <w:sz w:val="26"/>
          <w:szCs w:val="26"/>
        </w:rPr>
        <w:t>» изложить в новой редакции:</w:t>
      </w:r>
    </w:p>
    <w:p w:rsidR="005D315E" w:rsidRDefault="005D315E" w:rsidP="00BC7D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«Статья 5. </w:t>
      </w:r>
      <w:r w:rsidRPr="00BC7DBC">
        <w:rPr>
          <w:sz w:val="26"/>
          <w:szCs w:val="26"/>
        </w:rPr>
        <w:t xml:space="preserve">Порядок и условия выплаты премии по итогам работы за </w:t>
      </w:r>
      <w:r>
        <w:rPr>
          <w:sz w:val="26"/>
          <w:szCs w:val="26"/>
        </w:rPr>
        <w:t xml:space="preserve">квартал, </w:t>
      </w:r>
      <w:r w:rsidRPr="00BC7DBC">
        <w:rPr>
          <w:sz w:val="26"/>
          <w:szCs w:val="26"/>
        </w:rPr>
        <w:t>год</w:t>
      </w:r>
      <w:r>
        <w:rPr>
          <w:sz w:val="26"/>
          <w:szCs w:val="26"/>
        </w:rPr>
        <w:t xml:space="preserve">». </w:t>
      </w:r>
    </w:p>
    <w:p w:rsidR="005D315E" w:rsidRDefault="00411F30" w:rsidP="005D315E">
      <w:pPr>
        <w:widowControl w:val="0"/>
        <w:ind w:firstLine="709"/>
        <w:jc w:val="both"/>
        <w:rPr>
          <w:sz w:val="26"/>
          <w:szCs w:val="26"/>
        </w:rPr>
      </w:pPr>
      <w:r w:rsidRPr="00BC7DBC">
        <w:rPr>
          <w:sz w:val="26"/>
          <w:szCs w:val="26"/>
        </w:rPr>
        <w:t>1.</w:t>
      </w:r>
      <w:r w:rsidR="005D315E">
        <w:rPr>
          <w:sz w:val="26"/>
          <w:szCs w:val="26"/>
        </w:rPr>
        <w:t>3</w:t>
      </w:r>
      <w:r w:rsidRPr="00BC7DBC">
        <w:rPr>
          <w:sz w:val="26"/>
          <w:szCs w:val="26"/>
        </w:rPr>
        <w:t xml:space="preserve">. </w:t>
      </w:r>
      <w:r w:rsidR="005D315E">
        <w:rPr>
          <w:sz w:val="26"/>
          <w:szCs w:val="26"/>
        </w:rPr>
        <w:t>Пункт 1 с</w:t>
      </w:r>
      <w:r w:rsidR="00BC7DBC">
        <w:rPr>
          <w:sz w:val="26"/>
          <w:szCs w:val="26"/>
        </w:rPr>
        <w:t>тать</w:t>
      </w:r>
      <w:r w:rsidR="005D315E">
        <w:rPr>
          <w:sz w:val="26"/>
          <w:szCs w:val="26"/>
        </w:rPr>
        <w:t>и</w:t>
      </w:r>
      <w:r w:rsidR="00BC7DBC">
        <w:rPr>
          <w:sz w:val="26"/>
          <w:szCs w:val="26"/>
        </w:rPr>
        <w:t xml:space="preserve"> </w:t>
      </w:r>
      <w:r w:rsidR="00BC7DBC" w:rsidRPr="00BC7DBC">
        <w:rPr>
          <w:sz w:val="26"/>
          <w:szCs w:val="26"/>
        </w:rPr>
        <w:t>5 </w:t>
      </w:r>
      <w:r w:rsidR="00BC7DBC">
        <w:rPr>
          <w:sz w:val="26"/>
          <w:szCs w:val="26"/>
        </w:rPr>
        <w:t>«</w:t>
      </w:r>
      <w:r w:rsidR="003C0A67" w:rsidRPr="00BC7DBC">
        <w:rPr>
          <w:sz w:val="26"/>
          <w:szCs w:val="26"/>
        </w:rPr>
        <w:t xml:space="preserve">Порядок и условия выплаты премии по итогам работы за </w:t>
      </w:r>
      <w:r w:rsidR="003C0A67">
        <w:rPr>
          <w:sz w:val="26"/>
          <w:szCs w:val="26"/>
        </w:rPr>
        <w:t xml:space="preserve">квартал, </w:t>
      </w:r>
      <w:r w:rsidR="003C0A67" w:rsidRPr="00BC7DBC">
        <w:rPr>
          <w:sz w:val="26"/>
          <w:szCs w:val="26"/>
        </w:rPr>
        <w:t>год</w:t>
      </w:r>
      <w:r w:rsidR="00BC7DBC">
        <w:rPr>
          <w:sz w:val="26"/>
          <w:szCs w:val="26"/>
        </w:rPr>
        <w:t>» изложить в новой редакции:</w:t>
      </w:r>
    </w:p>
    <w:p w:rsidR="00BC7DBC" w:rsidRDefault="00BC7DBC" w:rsidP="005D315E">
      <w:pPr>
        <w:widowControl w:val="0"/>
        <w:ind w:firstLine="709"/>
        <w:jc w:val="both"/>
        <w:rPr>
          <w:sz w:val="26"/>
          <w:szCs w:val="26"/>
        </w:rPr>
      </w:pPr>
      <w:r w:rsidRPr="005D315E">
        <w:rPr>
          <w:sz w:val="26"/>
          <w:szCs w:val="26"/>
        </w:rPr>
        <w:t>«</w:t>
      </w:r>
      <w:r w:rsidRPr="00E94AB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 формировании </w:t>
      </w:r>
      <w:r w:rsidRPr="00150951">
        <w:rPr>
          <w:sz w:val="26"/>
          <w:szCs w:val="26"/>
        </w:rPr>
        <w:t>фонда оплаты труда предусматрива</w:t>
      </w:r>
      <w:r>
        <w:rPr>
          <w:sz w:val="26"/>
          <w:szCs w:val="26"/>
        </w:rPr>
        <w:t>ю</w:t>
      </w:r>
      <w:r w:rsidRPr="00150951">
        <w:rPr>
          <w:sz w:val="26"/>
          <w:szCs w:val="26"/>
        </w:rPr>
        <w:t>тся средства для выплаты премии по итогам работы</w:t>
      </w:r>
      <w:r>
        <w:rPr>
          <w:sz w:val="26"/>
          <w:szCs w:val="26"/>
        </w:rPr>
        <w:t>:</w:t>
      </w:r>
    </w:p>
    <w:p w:rsidR="00BC7DBC" w:rsidRDefault="00BC7DBC" w:rsidP="00BC7D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квартал </w:t>
      </w:r>
      <w:r w:rsidRPr="00BC7DBC">
        <w:rPr>
          <w:sz w:val="26"/>
          <w:szCs w:val="26"/>
        </w:rPr>
        <w:t>(I, II, III, IV)</w:t>
      </w:r>
      <w:r>
        <w:t xml:space="preserve"> </w:t>
      </w:r>
      <w:r>
        <w:rPr>
          <w:sz w:val="26"/>
          <w:szCs w:val="26"/>
        </w:rPr>
        <w:t>– в размере до одного месячного фонда оплаты труда, согласно штатного расписания.</w:t>
      </w:r>
    </w:p>
    <w:p w:rsidR="00BC7DBC" w:rsidRDefault="00BC7DBC" w:rsidP="00BC7DBC">
      <w:pPr>
        <w:widowControl w:val="0"/>
        <w:ind w:firstLine="709"/>
        <w:jc w:val="both"/>
        <w:rPr>
          <w:sz w:val="26"/>
          <w:szCs w:val="26"/>
        </w:rPr>
      </w:pPr>
      <w:r w:rsidRPr="00150951">
        <w:rPr>
          <w:sz w:val="26"/>
          <w:szCs w:val="26"/>
        </w:rPr>
        <w:t xml:space="preserve">за год – в размере до </w:t>
      </w:r>
      <w:r>
        <w:rPr>
          <w:sz w:val="26"/>
          <w:szCs w:val="26"/>
        </w:rPr>
        <w:t>двух месячных фондов оплаты труда, согласно штатного расписания</w:t>
      </w:r>
      <w:r w:rsidRPr="00E94ABC">
        <w:rPr>
          <w:sz w:val="26"/>
          <w:szCs w:val="26"/>
        </w:rPr>
        <w:t>.</w:t>
      </w:r>
      <w:r w:rsidR="005D315E">
        <w:rPr>
          <w:sz w:val="26"/>
          <w:szCs w:val="26"/>
        </w:rPr>
        <w:t>»</w:t>
      </w:r>
    </w:p>
    <w:p w:rsidR="005D315E" w:rsidRDefault="005D315E" w:rsidP="005D315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2 статьи 5 «</w:t>
      </w:r>
      <w:r w:rsidR="003C0A67" w:rsidRPr="00BC7DBC">
        <w:rPr>
          <w:sz w:val="26"/>
          <w:szCs w:val="26"/>
        </w:rPr>
        <w:t xml:space="preserve">Порядок и условия выплаты премии по итогам работы за </w:t>
      </w:r>
      <w:r w:rsidR="003C0A67">
        <w:rPr>
          <w:sz w:val="26"/>
          <w:szCs w:val="26"/>
        </w:rPr>
        <w:t xml:space="preserve">квартал, </w:t>
      </w:r>
      <w:r w:rsidR="003C0A67" w:rsidRPr="00BC7DBC">
        <w:rPr>
          <w:sz w:val="26"/>
          <w:szCs w:val="26"/>
        </w:rPr>
        <w:t>год</w:t>
      </w:r>
      <w:r>
        <w:rPr>
          <w:sz w:val="26"/>
          <w:szCs w:val="26"/>
        </w:rPr>
        <w:t>» изложить в новой редакции:</w:t>
      </w:r>
    </w:p>
    <w:p w:rsidR="00BC7DBC" w:rsidRPr="00E94ABC" w:rsidRDefault="005D315E" w:rsidP="00BC7D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BC7DBC">
        <w:rPr>
          <w:sz w:val="26"/>
          <w:szCs w:val="26"/>
        </w:rPr>
        <w:t>2. Премия выплачивается на основании распоряжения главы</w:t>
      </w:r>
      <w:r>
        <w:rPr>
          <w:sz w:val="26"/>
          <w:szCs w:val="26"/>
        </w:rPr>
        <w:t>.</w:t>
      </w:r>
      <w:r w:rsidR="00BC7DBC">
        <w:rPr>
          <w:sz w:val="26"/>
          <w:szCs w:val="26"/>
        </w:rPr>
        <w:t xml:space="preserve"> </w:t>
      </w:r>
      <w:r w:rsidR="00BC7DBC" w:rsidRPr="003A38CD">
        <w:rPr>
          <w:sz w:val="26"/>
          <w:szCs w:val="26"/>
        </w:rPr>
        <w:t>Выплата премии по результатам работы за квартал (I, II, III) производится не позднее первого месяца следующего за отчетным кварталом, премии по результатам работы за IV квартал</w:t>
      </w:r>
      <w:r w:rsidR="003A38CD" w:rsidRPr="003A38CD">
        <w:rPr>
          <w:sz w:val="26"/>
          <w:szCs w:val="26"/>
        </w:rPr>
        <w:t xml:space="preserve"> и год не позднее</w:t>
      </w:r>
      <w:r w:rsidR="00BC7DBC" w:rsidRPr="003A38CD">
        <w:rPr>
          <w:sz w:val="26"/>
          <w:szCs w:val="26"/>
        </w:rPr>
        <w:t xml:space="preserve"> 31 декабря текущего года</w:t>
      </w:r>
      <w:r w:rsidR="003A38CD" w:rsidRPr="003A38CD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537BE2" w:rsidRPr="00686FF0" w:rsidRDefault="00537BE2" w:rsidP="00537BE2">
      <w:pPr>
        <w:tabs>
          <w:tab w:val="num" w:pos="0"/>
        </w:tabs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</w:t>
      </w:r>
      <w:r w:rsidRPr="00686FF0">
        <w:rPr>
          <w:color w:val="000000"/>
          <w:sz w:val="25"/>
          <w:szCs w:val="25"/>
        </w:rPr>
        <w:t xml:space="preserve"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537BE2" w:rsidRPr="00AE4B83" w:rsidRDefault="00537BE2" w:rsidP="00537BE2">
      <w:pPr>
        <w:ind w:firstLine="709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3</w:t>
      </w:r>
      <w:r w:rsidRPr="00AE4B83"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  <w:t xml:space="preserve"> П</w:t>
      </w:r>
      <w:r w:rsidRPr="00AE4B83">
        <w:rPr>
          <w:color w:val="000000"/>
          <w:sz w:val="25"/>
          <w:szCs w:val="25"/>
        </w:rPr>
        <w:t xml:space="preserve">остановление </w:t>
      </w:r>
      <w:r w:rsidRPr="00686FF0">
        <w:rPr>
          <w:color w:val="000000"/>
          <w:sz w:val="25"/>
          <w:szCs w:val="25"/>
        </w:rPr>
        <w:t>вступает в силу после официального опубликования и распространяется</w:t>
      </w:r>
      <w:r w:rsidRPr="00AE4B83">
        <w:rPr>
          <w:sz w:val="25"/>
          <w:szCs w:val="25"/>
        </w:rPr>
        <w:t xml:space="preserve"> на правоотношения, возникшие с 01.01.2015.</w:t>
      </w:r>
    </w:p>
    <w:p w:rsidR="000E57CC" w:rsidRPr="00E94ABC" w:rsidRDefault="001C2543" w:rsidP="000011F7">
      <w:pPr>
        <w:shd w:val="clear" w:color="auto" w:fill="FFFFFF"/>
        <w:spacing w:line="322" w:lineRule="exact"/>
        <w:ind w:left="14" w:right="34" w:firstLine="709"/>
        <w:jc w:val="both"/>
        <w:rPr>
          <w:color w:val="000000"/>
          <w:spacing w:val="-5"/>
          <w:w w:val="104"/>
          <w:sz w:val="26"/>
          <w:szCs w:val="26"/>
        </w:rPr>
      </w:pPr>
      <w:r>
        <w:rPr>
          <w:sz w:val="26"/>
          <w:szCs w:val="26"/>
        </w:rPr>
        <w:t>4</w:t>
      </w:r>
      <w:r w:rsidR="009C3DE5" w:rsidRPr="00E94ABC">
        <w:rPr>
          <w:sz w:val="26"/>
          <w:szCs w:val="26"/>
        </w:rPr>
        <w:t xml:space="preserve">. </w:t>
      </w:r>
      <w:r w:rsidR="000E57CC" w:rsidRPr="00E94ABC">
        <w:rPr>
          <w:color w:val="000000"/>
          <w:spacing w:val="-3"/>
          <w:w w:val="104"/>
          <w:sz w:val="26"/>
          <w:szCs w:val="26"/>
        </w:rPr>
        <w:t>Контроль за выполнением настоящего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C3DE5" w:rsidRPr="00E94ABC" w:rsidRDefault="009C3DE5" w:rsidP="009C3DE5">
      <w:pPr>
        <w:jc w:val="both"/>
        <w:rPr>
          <w:sz w:val="26"/>
          <w:szCs w:val="26"/>
        </w:rPr>
      </w:pPr>
    </w:p>
    <w:p w:rsidR="00B55E0D" w:rsidRPr="00E94ABC" w:rsidRDefault="00B55E0D" w:rsidP="00B55E0D">
      <w:pPr>
        <w:jc w:val="both"/>
        <w:rPr>
          <w:sz w:val="26"/>
          <w:szCs w:val="26"/>
        </w:rPr>
      </w:pPr>
    </w:p>
    <w:p w:rsidR="00B55E0D" w:rsidRDefault="00B55E0D" w:rsidP="00B55E0D">
      <w:pPr>
        <w:jc w:val="both"/>
        <w:rPr>
          <w:sz w:val="26"/>
          <w:szCs w:val="26"/>
        </w:rPr>
      </w:pPr>
    </w:p>
    <w:p w:rsidR="00BA5AEE" w:rsidRPr="00E94ABC" w:rsidRDefault="000B5A92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Г</w:t>
      </w:r>
      <w:r w:rsidR="00B55E0D" w:rsidRPr="00E94ABC">
        <w:rPr>
          <w:sz w:val="26"/>
          <w:szCs w:val="26"/>
        </w:rPr>
        <w:t>лав</w:t>
      </w:r>
      <w:r w:rsidRPr="00E94ABC">
        <w:rPr>
          <w:sz w:val="26"/>
          <w:szCs w:val="26"/>
        </w:rPr>
        <w:t xml:space="preserve">а </w:t>
      </w:r>
      <w:r w:rsidR="00BA5AEE" w:rsidRPr="00E94ABC">
        <w:rPr>
          <w:sz w:val="26"/>
          <w:szCs w:val="26"/>
        </w:rPr>
        <w:t>городского</w:t>
      </w:r>
    </w:p>
    <w:p w:rsidR="00B55E0D" w:rsidRPr="00E94ABC" w:rsidRDefault="00BA5AEE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поселения Кондинское</w:t>
      </w:r>
      <w:r w:rsidR="000B5A92" w:rsidRPr="00E94ABC">
        <w:rPr>
          <w:sz w:val="26"/>
          <w:szCs w:val="26"/>
        </w:rPr>
        <w:t xml:space="preserve">    </w:t>
      </w:r>
      <w:r w:rsidR="001D5D73" w:rsidRPr="00E94ABC">
        <w:rPr>
          <w:sz w:val="26"/>
          <w:szCs w:val="26"/>
        </w:rPr>
        <w:t xml:space="preserve">  </w:t>
      </w:r>
      <w:r w:rsidR="000B5A92" w:rsidRPr="00E94ABC">
        <w:rPr>
          <w:sz w:val="26"/>
          <w:szCs w:val="26"/>
        </w:rPr>
        <w:t xml:space="preserve"> </w:t>
      </w:r>
      <w:r w:rsidR="003477A5">
        <w:rPr>
          <w:sz w:val="26"/>
          <w:szCs w:val="26"/>
        </w:rPr>
        <w:t xml:space="preserve">                                                                         </w:t>
      </w:r>
      <w:r w:rsidR="009530BE">
        <w:rPr>
          <w:sz w:val="26"/>
          <w:szCs w:val="26"/>
        </w:rPr>
        <w:t xml:space="preserve">     </w:t>
      </w:r>
      <w:r w:rsidR="000B5A92" w:rsidRPr="00E94ABC">
        <w:rPr>
          <w:sz w:val="26"/>
          <w:szCs w:val="26"/>
        </w:rPr>
        <w:t xml:space="preserve"> </w:t>
      </w:r>
      <w:r w:rsidR="009530BE">
        <w:rPr>
          <w:sz w:val="26"/>
          <w:szCs w:val="26"/>
        </w:rPr>
        <w:t>С.А.Дерябин</w:t>
      </w:r>
    </w:p>
    <w:p w:rsidR="00BC7DBC" w:rsidRDefault="00FD1C28" w:rsidP="001C2543">
      <w:pPr>
        <w:widowControl w:val="0"/>
        <w:tabs>
          <w:tab w:val="left" w:pos="5580"/>
        </w:tabs>
        <w:ind w:left="4536"/>
        <w:jc w:val="right"/>
        <w:rPr>
          <w:snapToGrid w:val="0"/>
          <w:sz w:val="26"/>
          <w:szCs w:val="26"/>
        </w:rPr>
      </w:pPr>
      <w:r w:rsidRPr="00E94ABC">
        <w:rPr>
          <w:snapToGrid w:val="0"/>
          <w:sz w:val="26"/>
          <w:szCs w:val="26"/>
        </w:rPr>
        <w:t xml:space="preserve">  </w:t>
      </w:r>
      <w:r w:rsidR="00E94ABC">
        <w:rPr>
          <w:snapToGrid w:val="0"/>
          <w:sz w:val="26"/>
          <w:szCs w:val="26"/>
        </w:rPr>
        <w:t xml:space="preserve"> </w:t>
      </w:r>
      <w:r w:rsidRPr="00E94ABC">
        <w:rPr>
          <w:snapToGrid w:val="0"/>
          <w:sz w:val="26"/>
          <w:szCs w:val="26"/>
        </w:rPr>
        <w:t xml:space="preserve"> </w:t>
      </w:r>
    </w:p>
    <w:sectPr w:rsidR="00BC7DBC" w:rsidSect="00A22B6E">
      <w:headerReference w:type="even" r:id="rId7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E0" w:rsidRDefault="005B41E0">
      <w:r>
        <w:separator/>
      </w:r>
    </w:p>
  </w:endnote>
  <w:endnote w:type="continuationSeparator" w:id="1">
    <w:p w:rsidR="005B41E0" w:rsidRDefault="005B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E0" w:rsidRDefault="005B41E0">
      <w:r>
        <w:separator/>
      </w:r>
    </w:p>
  </w:footnote>
  <w:footnote w:type="continuationSeparator" w:id="1">
    <w:p w:rsidR="005B41E0" w:rsidRDefault="005B4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EB1686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D47"/>
    <w:rsid w:val="00000B8A"/>
    <w:rsid w:val="000011F7"/>
    <w:rsid w:val="00002E49"/>
    <w:rsid w:val="000136D8"/>
    <w:rsid w:val="0002259E"/>
    <w:rsid w:val="00043A16"/>
    <w:rsid w:val="000659A3"/>
    <w:rsid w:val="00084D6C"/>
    <w:rsid w:val="000B00B2"/>
    <w:rsid w:val="000B5A92"/>
    <w:rsid w:val="000D75C1"/>
    <w:rsid w:val="000E57CC"/>
    <w:rsid w:val="000F5033"/>
    <w:rsid w:val="000F7C87"/>
    <w:rsid w:val="00116C49"/>
    <w:rsid w:val="00151B1C"/>
    <w:rsid w:val="00152AED"/>
    <w:rsid w:val="00161A6F"/>
    <w:rsid w:val="001C2543"/>
    <w:rsid w:val="001D5D73"/>
    <w:rsid w:val="001E3439"/>
    <w:rsid w:val="001E4286"/>
    <w:rsid w:val="001F4CB9"/>
    <w:rsid w:val="001F5242"/>
    <w:rsid w:val="0020577D"/>
    <w:rsid w:val="002235D8"/>
    <w:rsid w:val="00243585"/>
    <w:rsid w:val="00266BFF"/>
    <w:rsid w:val="00294DC0"/>
    <w:rsid w:val="00295C43"/>
    <w:rsid w:val="002E24B3"/>
    <w:rsid w:val="002E4BE4"/>
    <w:rsid w:val="00310B0D"/>
    <w:rsid w:val="003477A5"/>
    <w:rsid w:val="00373241"/>
    <w:rsid w:val="00390F1C"/>
    <w:rsid w:val="00393B75"/>
    <w:rsid w:val="003A1FB0"/>
    <w:rsid w:val="003A38CD"/>
    <w:rsid w:val="003A4C07"/>
    <w:rsid w:val="003C0A67"/>
    <w:rsid w:val="003D7F61"/>
    <w:rsid w:val="003F2FDD"/>
    <w:rsid w:val="00404D1B"/>
    <w:rsid w:val="00411F30"/>
    <w:rsid w:val="004235F0"/>
    <w:rsid w:val="00477063"/>
    <w:rsid w:val="004B0B12"/>
    <w:rsid w:val="004C304A"/>
    <w:rsid w:val="004D45AB"/>
    <w:rsid w:val="004D5D4E"/>
    <w:rsid w:val="004E5C5D"/>
    <w:rsid w:val="004E6530"/>
    <w:rsid w:val="00512ED4"/>
    <w:rsid w:val="00537BE2"/>
    <w:rsid w:val="00550379"/>
    <w:rsid w:val="0056184C"/>
    <w:rsid w:val="00565E36"/>
    <w:rsid w:val="005A5915"/>
    <w:rsid w:val="005B1DAB"/>
    <w:rsid w:val="005B41E0"/>
    <w:rsid w:val="005C6835"/>
    <w:rsid w:val="005C75CC"/>
    <w:rsid w:val="005D203F"/>
    <w:rsid w:val="005D315E"/>
    <w:rsid w:val="00607BD5"/>
    <w:rsid w:val="00611196"/>
    <w:rsid w:val="006762AE"/>
    <w:rsid w:val="0069468D"/>
    <w:rsid w:val="006B54FF"/>
    <w:rsid w:val="006B72BD"/>
    <w:rsid w:val="006C4267"/>
    <w:rsid w:val="00702760"/>
    <w:rsid w:val="007066CD"/>
    <w:rsid w:val="00742849"/>
    <w:rsid w:val="00773CD3"/>
    <w:rsid w:val="00790FF0"/>
    <w:rsid w:val="007B764E"/>
    <w:rsid w:val="007C0A04"/>
    <w:rsid w:val="007D6B45"/>
    <w:rsid w:val="007E0A6D"/>
    <w:rsid w:val="007E7245"/>
    <w:rsid w:val="007F00F4"/>
    <w:rsid w:val="00801182"/>
    <w:rsid w:val="0086664A"/>
    <w:rsid w:val="00873916"/>
    <w:rsid w:val="008762D5"/>
    <w:rsid w:val="00881B24"/>
    <w:rsid w:val="00887627"/>
    <w:rsid w:val="00892EF8"/>
    <w:rsid w:val="008C4B55"/>
    <w:rsid w:val="008F2B80"/>
    <w:rsid w:val="00926304"/>
    <w:rsid w:val="009530BE"/>
    <w:rsid w:val="00955E99"/>
    <w:rsid w:val="00956826"/>
    <w:rsid w:val="00956D27"/>
    <w:rsid w:val="0096177A"/>
    <w:rsid w:val="009636CE"/>
    <w:rsid w:val="009641A4"/>
    <w:rsid w:val="00971F0A"/>
    <w:rsid w:val="009900ED"/>
    <w:rsid w:val="009947DA"/>
    <w:rsid w:val="009A29FF"/>
    <w:rsid w:val="009A677F"/>
    <w:rsid w:val="009C3DE5"/>
    <w:rsid w:val="009D1CFC"/>
    <w:rsid w:val="00A226DC"/>
    <w:rsid w:val="00A22B6E"/>
    <w:rsid w:val="00A44C54"/>
    <w:rsid w:val="00A56878"/>
    <w:rsid w:val="00A7281C"/>
    <w:rsid w:val="00A8098A"/>
    <w:rsid w:val="00AB0134"/>
    <w:rsid w:val="00AB26C4"/>
    <w:rsid w:val="00AE01B4"/>
    <w:rsid w:val="00B02FD7"/>
    <w:rsid w:val="00B423F6"/>
    <w:rsid w:val="00B55E0D"/>
    <w:rsid w:val="00B70D47"/>
    <w:rsid w:val="00B733BC"/>
    <w:rsid w:val="00B73F21"/>
    <w:rsid w:val="00B7554D"/>
    <w:rsid w:val="00B84621"/>
    <w:rsid w:val="00B86A2F"/>
    <w:rsid w:val="00B96F14"/>
    <w:rsid w:val="00BA5AEE"/>
    <w:rsid w:val="00BA5BB0"/>
    <w:rsid w:val="00BC7DBC"/>
    <w:rsid w:val="00BE1209"/>
    <w:rsid w:val="00BF130E"/>
    <w:rsid w:val="00C17A8F"/>
    <w:rsid w:val="00C44487"/>
    <w:rsid w:val="00C63682"/>
    <w:rsid w:val="00C63A52"/>
    <w:rsid w:val="00C66D9A"/>
    <w:rsid w:val="00C92B33"/>
    <w:rsid w:val="00CC1D73"/>
    <w:rsid w:val="00CC6EE3"/>
    <w:rsid w:val="00D106A1"/>
    <w:rsid w:val="00D144D7"/>
    <w:rsid w:val="00D27D05"/>
    <w:rsid w:val="00D44350"/>
    <w:rsid w:val="00D53945"/>
    <w:rsid w:val="00D53F64"/>
    <w:rsid w:val="00D815A5"/>
    <w:rsid w:val="00DA5906"/>
    <w:rsid w:val="00DC6865"/>
    <w:rsid w:val="00E504EE"/>
    <w:rsid w:val="00E55851"/>
    <w:rsid w:val="00E571E6"/>
    <w:rsid w:val="00E65B94"/>
    <w:rsid w:val="00E821D1"/>
    <w:rsid w:val="00E94ABC"/>
    <w:rsid w:val="00E97F28"/>
    <w:rsid w:val="00EB1686"/>
    <w:rsid w:val="00ED1338"/>
    <w:rsid w:val="00EF5319"/>
    <w:rsid w:val="00F31BEC"/>
    <w:rsid w:val="00F92A6E"/>
    <w:rsid w:val="00FC44AE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Татьяна</dc:creator>
  <cp:lastModifiedBy>Admin</cp:lastModifiedBy>
  <cp:revision>15</cp:revision>
  <cp:lastPrinted>2015-03-26T04:38:00Z</cp:lastPrinted>
  <dcterms:created xsi:type="dcterms:W3CDTF">2015-03-04T03:56:00Z</dcterms:created>
  <dcterms:modified xsi:type="dcterms:W3CDTF">2015-03-26T04:40:00Z</dcterms:modified>
</cp:coreProperties>
</file>