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contextualSpacing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0"/>
        <w:contextualSpacing/>
        <w:ind w:firstLine="540"/>
        <w:jc w:val="right"/>
        <w:rPr>
          <w:rFonts w:ascii="Times New Roman" w:hAnsi="Times New Roman" w:cs="Times New Roman"/>
          <w:b w:val="0"/>
        </w:rPr>
        <w:outlineLvl w:val="1"/>
      </w:pPr>
      <w:r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40"/>
        <w:contextualSpacing/>
        <w:ind w:firstLine="540"/>
        <w:jc w:val="right"/>
        <w:rPr>
          <w:rFonts w:ascii="Times New Roman" w:hAnsi="Times New Roman" w:cs="Times New Roman"/>
          <w:b w:val="0"/>
        </w:rPr>
        <w:outlineLvl w:val="1"/>
      </w:pPr>
      <w:r>
        <w:rPr>
          <w:rFonts w:ascii="Times New Roman" w:hAnsi="Times New Roman" w:cs="Times New Roman"/>
          <w:b w:val="0"/>
        </w:rPr>
        <w:t xml:space="preserve">к письму № ____ </w:t>
      </w:r>
      <w:r>
        <w:rPr>
          <w:rFonts w:ascii="Times New Roman" w:hAnsi="Times New Roman" w:cs="Times New Roman"/>
          <w:b w:val="0"/>
        </w:rPr>
        <w:t xml:space="preserve">от</w:t>
      </w:r>
      <w:r>
        <w:rPr>
          <w:rFonts w:ascii="Times New Roman" w:hAnsi="Times New Roman" w:cs="Times New Roman"/>
          <w:b w:val="0"/>
        </w:rPr>
        <w:t xml:space="preserve"> _____________</w:t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840"/>
        <w:contextualSpacing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0"/>
        <w:contextualSpacing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 на тему «Выдача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В соответствии со ст. 9 Федерального закона от 15.11.1997 N 143-ФЗ "Об а</w:t>
      </w:r>
      <w:bookmarkStart w:id="0" w:name="_GoBack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ктах гражданского состояни</w:t>
      </w:r>
      <w:r>
        <w:rPr>
          <w:rFonts w:ascii="Times New Roman" w:hAnsi="Times New Roman" w:eastAsia="Times New Roman" w:cs="Times New Roman"/>
          <w:b w:val="0"/>
          <w:sz w:val="26"/>
          <w:szCs w:val="26"/>
        </w:rPr>
        <w:t xml:space="preserve">я"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нечитаемости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текста и (или) печати органа записи актов гражданского состояния,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ламинирования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numPr>
          <w:ilvl w:val="0"/>
          <w:numId w:val="1"/>
        </w:numPr>
        <w:contextualSpacing/>
        <w:ind w:left="0" w:right="0" w:firstLine="888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ицу, в отношении которого была составлена запись акта гражданского состояния;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numPr>
          <w:ilvl w:val="0"/>
          <w:numId w:val="1"/>
        </w:numPr>
        <w:contextualSpacing/>
        <w:ind w:left="0" w:right="0" w:firstLine="888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numPr>
          <w:ilvl w:val="0"/>
          <w:numId w:val="1"/>
        </w:numPr>
        <w:contextualSpacing/>
        <w:ind w:left="0" w:right="0" w:firstLine="888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numPr>
          <w:ilvl w:val="0"/>
          <w:numId w:val="1"/>
        </w:numPr>
        <w:contextualSpacing/>
        <w:ind w:left="0" w:right="0" w:firstLine="888"/>
        <w:jc w:val="both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опекунам лиц, признанных недееспособными;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840"/>
        <w:numPr>
          <w:ilvl w:val="0"/>
          <w:numId w:val="1"/>
        </w:numPr>
        <w:contextualSpacing/>
        <w:ind w:left="0" w:right="0" w:firstLine="88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иному лицу в случае представления нотариально удостоверенной доверенности от лица, имеющего в 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  <w:r>
        <w:rPr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Лицу, не состоящему в браке, по его просьбе выдается документ об отсутствии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факта государственной регистрации заключения брака заявителя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 основании сведений, содержащихся в Едином государственном реестре записей актов гражданского состояния.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Повторное свидетельство о государственной регистрации акта гражданского состояния не выдается: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contextualSpacing/>
        <w:ind w:left="0" w:right="0" w:firstLine="889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numPr>
          <w:ilvl w:val="0"/>
          <w:numId w:val="2"/>
        </w:numPr>
        <w:contextualSpacing/>
        <w:ind w:left="0" w:right="0" w:firstLine="889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лицам, расторгнувшим брак, и лицам, брак которых признан недействительным, - свидетельство о заключении брака.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 просьбе указанных лиц им выдается иной документ, подтверждающий факт государственной регистрации рождения ребенка или заключения брака (справка).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Лицу, обратившемуся в орган записи актов гражданског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гражданского состояния, содержащейся в Едином государственном реестре записей актов гражданского состояния, в день обращения.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факта государственной регистрации заключения брака заявителя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выдается в день обращения.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отсутст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акта гражданского состояния или иной документ, подтверждающий наличие или 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Поданный в форме электронного документа запрос о выдаче повт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Подача в письменной форме запроса о выдаче повторного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услуг.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9"/>
        <w:contextualSpacing/>
        <w:ind w:firstLine="540"/>
        <w:jc w:val="both"/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получе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состояния.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425" w:right="851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841">
    <w:name w:val="Hyperlink"/>
    <w:basedOn w:val="83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7</cp:revision>
  <dcterms:created xsi:type="dcterms:W3CDTF">2022-06-14T05:09:00Z</dcterms:created>
  <dcterms:modified xsi:type="dcterms:W3CDTF">2024-09-09T06:15:22Z</dcterms:modified>
</cp:coreProperties>
</file>