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ГРАФИЧЕСКОЕ ОПИСАНИЕ МЕСТОПОЛОЖЕНИЯ ГРАНИЦ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Публичный сервитут в отношении земель и земельных участков в целях</w:t>
        <w:br/>
        <w:t>складирования строительных и иных материалов, возведения некапитальных</w:t>
        <w:br/>
        <w:t>строений, сооружений (включая ограждения, бытовки, навесы) и размещения</w:t>
        <w:br/>
        <w:t>строительной техники, которые необходимы для обеспечения реконструкции</w:t>
        <w:br/>
        <w:t>объекта федерального значения «Участок магистрального нефтепровода</w:t>
        <w:br/>
        <w:t>«Сургут-Полоцк» 400км-460км. Ду 1220. Основная нитка. Замена трубы на</w:t>
        <w:br/>
        <w:t>участке 427 км. Малый водоток через ручей. Тобольское УМН. Реконструкция»</w:t>
      </w:r>
    </w:p>
    <w:tbl>
      <w:tblPr>
        <w:tblOverlap w:val="never"/>
        <w:jc w:val="center"/>
        <w:tblLayout w:type="fixed"/>
      </w:tblPr>
      <w:tblGrid>
        <w:gridCol w:w="854"/>
        <w:gridCol w:w="5218"/>
        <w:gridCol w:w="4147"/>
      </w:tblGrid>
      <w:tr>
        <w:trPr>
          <w:trHeight w:val="34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ru-RU" w:eastAsia="ru-RU" w:bidi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>
        <w:trPr>
          <w:trHeight w:val="45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Раздел 1</w:t>
            </w:r>
          </w:p>
        </w:tc>
      </w:tr>
      <w:tr>
        <w:trPr>
          <w:trHeight w:val="451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Сведения об объекте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Характеристики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характеристик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Местоположение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Ханты-Мансийский автономный округ - Югра, район Кондинский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 объекта +/- величина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погрешности определения площади (Р +/- Дельта Р)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8260 +/- 32 м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2</w:t>
            </w:r>
          </w:p>
        </w:tc>
      </w:tr>
      <w:tr>
        <w:trPr>
          <w:trHeight w:val="57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Иные характеристики объекта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Публичный сервитут в отношении земель и земельных участков в целях складирования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федерального значения «Участок магистрального нефтепровода «Сургут-Полоцк» 400км- 460км. Ду 1220. Основная нитка. Замена трубы на участке 427 км. Малый водоток через ручей. Тобольское УМН.</w:t>
            </w:r>
          </w:p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Реконструкция». Обладатель публичного сервитута: Акционерное общество «Транснефть - Сибирь», ИНН 7201000726, ОГРН 1027200789220, находящегося по адресу: 625027, Тюменская область, город Тюмень, ул. Республики, д. 139. ЕтаЛ: т1о@1тп.1гап8пеГ1.ги. тел. для связи: +7 (3452) 32-27-10. Срок публичного сервитута - 3 года.</w:t>
            </w:r>
          </w:p>
        </w:tc>
      </w:tr>
      <w:tr>
        <w:trPr>
          <w:trHeight w:val="3221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663" w:right="555" w:bottom="663" w:left="1125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45"/>
        <w:gridCol w:w="1358"/>
        <w:gridCol w:w="1363"/>
        <w:gridCol w:w="1872"/>
        <w:gridCol w:w="1757"/>
        <w:gridCol w:w="1824"/>
      </w:tblGrid>
      <w:tr>
        <w:trPr>
          <w:trHeight w:val="57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Сведения о местоположении границ объекта</w:t>
            </w:r>
          </w:p>
        </w:tc>
      </w:tr>
      <w:tr>
        <w:trPr>
          <w:trHeight w:val="45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Система координат МСК-86, зона 2</w:t>
            </w:r>
          </w:p>
        </w:tc>
      </w:tr>
      <w:tr>
        <w:trPr>
          <w:trHeight w:val="34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Сведения о характерных точках границ объекта</w:t>
            </w:r>
          </w:p>
        </w:tc>
      </w:tr>
      <w:tr>
        <w:trPr>
          <w:trHeight w:val="7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Средняя квадратическая погрешность положения характерной точки (М(),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799537.64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2621962.43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799546.24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2621954.55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799558.58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2621971.66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799571.13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2621985.13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799582.78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2622000.59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799659.56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2622137.45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799665.29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2622152.71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799698.94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2622217.94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799683.88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2622225.49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799650.65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2622168.10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799635.75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2622141.45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799575.85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2622038.07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799562.29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2622009.50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799557.64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2621992.39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799548.71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2621976.90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799537.64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2621962.43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799616.10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2622227.44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799630.04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2622219.56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799620.24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2622202.13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799632.46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2622195.26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799619.35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2622174.21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799625.81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2622172.89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250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186" w:right="555" w:bottom="653" w:left="112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2045"/>
        <w:gridCol w:w="1358"/>
        <w:gridCol w:w="1363"/>
        <w:gridCol w:w="1872"/>
        <w:gridCol w:w="1757"/>
        <w:gridCol w:w="1824"/>
      </w:tblGrid>
      <w:tr>
        <w:trPr>
          <w:trHeight w:val="34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Сведения о характерных точках границ объекта</w:t>
            </w:r>
          </w:p>
        </w:tc>
      </w:tr>
      <w:tr>
        <w:trPr>
          <w:trHeight w:val="7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Средняя квадратическая погрешность положения характерной точки (М(),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799637.18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2622192.61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799665.15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2622241.14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799633.78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2622258.81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799616.10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2622227.44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799573.43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2622208.45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799596.72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2622170.73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799599.68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2622175.97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799578.18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2622210.87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799573.43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2622208.45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метод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41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части границы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Средняя квадратическая погрешность положения характерной точки (М(),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846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562" w:right="555" w:bottom="562" w:left="1125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421"/>
        <w:gridCol w:w="1075"/>
        <w:gridCol w:w="1080"/>
        <w:gridCol w:w="1075"/>
        <w:gridCol w:w="1022"/>
        <w:gridCol w:w="1531"/>
        <w:gridCol w:w="1699"/>
        <w:gridCol w:w="1315"/>
      </w:tblGrid>
      <w:tr>
        <w:trPr>
          <w:trHeight w:val="154" w:hRule="exact"/>
        </w:trPr>
        <w:tc>
          <w:tcPr>
            <w:gridSpan w:val="8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45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Система координат -</w:t>
            </w:r>
          </w:p>
        </w:tc>
      </w:tr>
      <w:tr>
        <w:trPr>
          <w:trHeight w:val="34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Сведения о характерных точках границ объекта</w:t>
            </w:r>
          </w:p>
        </w:tc>
      </w:tr>
      <w:tr>
        <w:trPr>
          <w:trHeight w:val="79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границ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Существующие координаты, 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Измененные (уточненные) 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Средняя квадратическая погрешность положения характерной точки (М(),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7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Обозначение характерных точек части границы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Существующие координаты, м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Измененные (уточненные) координаты, 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Метод определения координат характерной точки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Средняя квадратическая погрешность положения характерной точки (М(), м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Описание обозначения точки на местности (при наличии)</w:t>
            </w:r>
          </w:p>
        </w:tc>
      </w:tr>
      <w:tr>
        <w:trPr>
          <w:trHeight w:val="792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tabs>
                <w:tab w:pos="2288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  <w:tab/>
              <w:t>8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58" w:hRule="exact"/>
        </w:trPr>
        <w:tc>
          <w:tcPr>
            <w:gridSpan w:val="8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headerReference w:type="default" r:id="rId7"/>
      <w:headerReference w:type="even" r:id="rId8"/>
      <w:footnotePr>
        <w:pos w:val="pageBottom"/>
        <w:numFmt w:val="decimal"/>
        <w:numRestart w:val="continuous"/>
      </w:footnotePr>
      <w:pgSz w:w="11900" w:h="16840"/>
      <w:pgMar w:top="980" w:right="555" w:bottom="620" w:left="1125" w:header="0" w:footer="192" w:gutter="0"/>
      <w:pgNumType w:start="3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521970</wp:posOffset>
              </wp:positionV>
              <wp:extent cx="631190" cy="1339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3119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 xml:space="preserve">Раздел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6.65000000000003pt;margin-top:41.100000000000001pt;width:49.700000000000003pt;height:10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 xml:space="preserve">Раздел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485140</wp:posOffset>
              </wp:positionV>
              <wp:extent cx="628015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 xml:space="preserve">Раздел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6.65000000000003pt;margin-top:38.200000000000003pt;width:49.450000000000003pt;height:10.5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 xml:space="preserve">Раздел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3640455</wp:posOffset>
              </wp:positionH>
              <wp:positionV relativeFrom="page">
                <wp:posOffset>485140</wp:posOffset>
              </wp:positionV>
              <wp:extent cx="628015" cy="13398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28015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 xml:space="preserve">Раздел </w:t>
                          </w:r>
                          <w:fldSimple w:instr=" PAGE \* MERGEFORMAT "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86.65000000000003pt;margin-top:38.200000000000003pt;width:49.450000000000003pt;height:10.5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 xml:space="preserve">Раздел </w:t>
                    </w:r>
                    <w:fldSimple w:instr=" PAGE \* MERGEFORMAT "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Колонтитул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Колонтитул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</file>

<file path=docProps/core.xml><?xml version="1.0" encoding="utf-8"?>
<cp:coreProperties xmlns:cp="http://schemas.openxmlformats.org/package/2006/metadata/core-properties" xmlns:dc="http://purl.org/dc/elements/1.1/">
  <dc:title>Report</dc:title>
  <dc:subject>Описание местоположения границ</dc:subject>
  <dc:creator>Татарцева Людмила Николаевна &lt;1633012d@technokad.rosreestr.ru&gt;</dc:creator>
  <cp:keywords/>
</cp:coreProperties>
</file>