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6E" w:rsidRDefault="002D326E" w:rsidP="005C65BD">
      <w:pPr>
        <w:pStyle w:val="a9"/>
        <w:tabs>
          <w:tab w:val="left" w:pos="8931"/>
        </w:tabs>
        <w:jc w:val="right"/>
        <w:rPr>
          <w:sz w:val="28"/>
          <w:szCs w:val="28"/>
        </w:rPr>
      </w:pPr>
    </w:p>
    <w:p w:rsidR="005C65BD" w:rsidRPr="00797472" w:rsidRDefault="005C65BD" w:rsidP="005C65BD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Информаци</w:t>
      </w:r>
      <w:r w:rsidR="00716206">
        <w:rPr>
          <w:b/>
          <w:sz w:val="26"/>
          <w:szCs w:val="26"/>
        </w:rPr>
        <w:t>я</w:t>
      </w:r>
      <w:r w:rsidRPr="00797472">
        <w:rPr>
          <w:b/>
          <w:sz w:val="26"/>
          <w:szCs w:val="26"/>
        </w:rPr>
        <w:t xml:space="preserve"> о реализации общественного и </w:t>
      </w:r>
    </w:p>
    <w:p w:rsidR="005C65BD" w:rsidRPr="00797472" w:rsidRDefault="005C65BD" w:rsidP="005C65BD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797472">
        <w:rPr>
          <w:b/>
          <w:sz w:val="26"/>
          <w:szCs w:val="26"/>
        </w:rPr>
        <w:t>государственного контроля за ростом платы за коммунальные услуги</w:t>
      </w:r>
    </w:p>
    <w:p w:rsidR="005C65BD" w:rsidRDefault="005C65BD" w:rsidP="005C65BD">
      <w:pPr>
        <w:pStyle w:val="a9"/>
        <w:tabs>
          <w:tab w:val="left" w:pos="8931"/>
        </w:tabs>
        <w:rPr>
          <w:sz w:val="28"/>
          <w:szCs w:val="28"/>
        </w:rPr>
      </w:pPr>
    </w:p>
    <w:p w:rsidR="005C65BD" w:rsidRPr="00933930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услуги, официальный сайт – www.jsn.admhmao.ru.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 (</w:t>
      </w:r>
      <w:hyperlink r:id="rId8" w:history="1">
        <w:r w:rsidRPr="005840D3">
          <w:rPr>
            <w:rStyle w:val="a5"/>
            <w:sz w:val="26"/>
            <w:szCs w:val="26"/>
          </w:rPr>
          <w:t>http://bptr.eias.admhmao.ru/?reg=RU.5.86</w:t>
        </w:r>
      </w:hyperlink>
      <w:r w:rsidRPr="00D36736">
        <w:rPr>
          <w:rStyle w:val="titlerazdel"/>
          <w:sz w:val="26"/>
          <w:szCs w:val="26"/>
        </w:rPr>
        <w:t>)</w:t>
      </w:r>
      <w:r w:rsidRPr="00C232B4">
        <w:rPr>
          <w:rStyle w:val="titlerazdel"/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</w:t>
      </w:r>
      <w:r w:rsidR="008744DB">
        <w:rPr>
          <w:rStyle w:val="titlerazdel"/>
          <w:sz w:val="26"/>
          <w:szCs w:val="26"/>
        </w:rPr>
        <w:t>,</w:t>
      </w:r>
      <w:r w:rsidR="008744DB" w:rsidRPr="008744DB">
        <w:rPr>
          <w:sz w:val="26"/>
          <w:szCs w:val="26"/>
        </w:rPr>
        <w:t xml:space="preserve"> о расходах и производственных показателях, принятых в тарифах </w:t>
      </w:r>
      <w:r w:rsidR="008744DB">
        <w:rPr>
          <w:sz w:val="26"/>
          <w:szCs w:val="26"/>
        </w:rPr>
        <w:t>в протоколах заседаний правления</w:t>
      </w:r>
      <w:r w:rsidR="008744DB" w:rsidRPr="008744DB">
        <w:rPr>
          <w:sz w:val="26"/>
          <w:szCs w:val="26"/>
        </w:rPr>
        <w:t xml:space="preserve"> (</w:t>
      </w:r>
      <w:hyperlink r:id="rId9" w:history="1">
        <w:r w:rsidR="008744DB" w:rsidRPr="008744DB">
          <w:rPr>
            <w:rStyle w:val="a5"/>
            <w:sz w:val="26"/>
            <w:szCs w:val="26"/>
          </w:rPr>
          <w:t>https://rst.admhmao.ru/raskrytie-informatsii/</w:t>
        </w:r>
      </w:hyperlink>
      <w:r w:rsidR="008744DB" w:rsidRPr="008744DB">
        <w:rPr>
          <w:sz w:val="26"/>
          <w:szCs w:val="26"/>
          <w:u w:val="single"/>
        </w:rPr>
        <w:t>)</w:t>
      </w:r>
      <w:r w:rsidR="008744DB" w:rsidRPr="008744DB">
        <w:rPr>
          <w:sz w:val="26"/>
          <w:szCs w:val="26"/>
        </w:rPr>
        <w:t>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услуг, утверждаются приказами Департамента жилищно-коммунального комплекса и энергетики Ханты-Мансийского автономного округа – Югры (далее – Депжкк и энергетики Югры), за исключением</w:t>
      </w:r>
      <w:r w:rsidRPr="00471874">
        <w:t xml:space="preserve"> </w:t>
      </w:r>
      <w:r w:rsidRPr="00471874">
        <w:rPr>
          <w:sz w:val="26"/>
          <w:szCs w:val="26"/>
        </w:rPr>
        <w:t>нормативов накопления</w:t>
      </w:r>
      <w:r w:rsidRPr="00471874">
        <w:t xml:space="preserve"> </w:t>
      </w:r>
      <w:r w:rsidRPr="00471874">
        <w:rPr>
          <w:sz w:val="26"/>
          <w:szCs w:val="26"/>
        </w:rPr>
        <w:lastRenderedPageBreak/>
        <w:t>на</w:t>
      </w:r>
      <w:r w:rsidRPr="00471874">
        <w:t xml:space="preserve"> </w:t>
      </w:r>
      <w:r w:rsidRPr="00471874">
        <w:rPr>
          <w:rStyle w:val="titlerazdel"/>
          <w:sz w:val="26"/>
          <w:szCs w:val="26"/>
        </w:rPr>
        <w:t>твердые коммунальные отходы, которые устанавливаются органами местного самоуправления.</w:t>
      </w:r>
    </w:p>
    <w:p w:rsidR="005C65BD" w:rsidRPr="00FC3156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 xml:space="preserve">понижающие коэффициенты, утвержденные приказами Депжкк и энергетики Югры. </w:t>
      </w:r>
      <w:r w:rsidRPr="00FC3156">
        <w:rPr>
          <w:rStyle w:val="titlerazdel"/>
          <w:sz w:val="26"/>
          <w:szCs w:val="26"/>
        </w:rPr>
        <w:t>Информация о нормативах потребления коммунальных услуг и понижающих коэффициентах размещена на официальном сайте Депжкк и энергетики Югры – www.depjkke.admhmao.ru в разделе «Документы»</w:t>
      </w:r>
      <w:r w:rsidRPr="001B491E">
        <w:t xml:space="preserve"> </w:t>
      </w:r>
      <w:r>
        <w:t>(</w:t>
      </w:r>
      <w:hyperlink r:id="rId10" w:history="1">
        <w:r w:rsidRPr="001B491E">
          <w:rPr>
            <w:rStyle w:val="a5"/>
            <w:sz w:val="26"/>
            <w:szCs w:val="26"/>
          </w:rPr>
          <w:t>https://depjkke.admhmao.ru/dokumenty/prik/</w:t>
        </w:r>
      </w:hyperlink>
      <w:r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:rsidR="00716206" w:rsidRPr="00716206" w:rsidRDefault="00716206" w:rsidP="00716206">
      <w:pPr>
        <w:spacing w:line="276" w:lineRule="auto"/>
        <w:ind w:firstLine="567"/>
        <w:jc w:val="both"/>
        <w:rPr>
          <w:sz w:val="26"/>
          <w:szCs w:val="26"/>
        </w:rPr>
      </w:pPr>
      <w:r w:rsidRPr="00716206">
        <w:rPr>
          <w:sz w:val="26"/>
          <w:szCs w:val="26"/>
        </w:rPr>
        <w:t xml:space="preserve">Для соблюдения установленных предельных индексов изменения платы граждан органами местного самоуправления муниципальных образований: </w:t>
      </w:r>
      <w:r w:rsidR="004B0E30">
        <w:rPr>
          <w:sz w:val="26"/>
          <w:szCs w:val="26"/>
        </w:rPr>
        <w:t xml:space="preserve">                        </w:t>
      </w:r>
      <w:r w:rsidRPr="00716206">
        <w:rPr>
          <w:sz w:val="26"/>
          <w:szCs w:val="26"/>
        </w:rPr>
        <w:t>г. Нягань. Сургут, Белоярский, Березовский, Кондинский, Нижневартовский, Октябрьский, Советский, Сургутский, Ханты-Мансийский районы, в которых по отдельным услугам уровень платы для населения устанавливается ниже экономически обоснованных тарифов, установленных РСТ Югры, на 2021 год приняты соответствующие нормативные правовые акты о снижении уровня платы.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5C65BD" w:rsidRPr="003D177E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</w:t>
      </w:r>
      <w:r w:rsidR="004B0E30">
        <w:rPr>
          <w:rStyle w:val="titlerazdel"/>
          <w:sz w:val="26"/>
          <w:szCs w:val="26"/>
        </w:rPr>
        <w:t xml:space="preserve">                    </w:t>
      </w:r>
      <w:r w:rsidRPr="00471874">
        <w:rPr>
          <w:rStyle w:val="titlerazdel"/>
          <w:sz w:val="26"/>
          <w:szCs w:val="26"/>
        </w:rPr>
        <w:t xml:space="preserve">РСТ Югры, касающихся тарифов, на официальном сайте </w:t>
      </w:r>
      <w:r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>(www.rst.admhmao.ru) в разделе «Документы», подразделе «Общественная экспертиза», а также на интерактивном сервисе «Общественная экспертиза» (</w:t>
      </w:r>
      <w:hyperlink r:id="rId11" w:history="1">
        <w:r w:rsidRPr="003D177E">
          <w:rPr>
            <w:rStyle w:val="a5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6B0DD9">
        <w:rPr>
          <w:rStyle w:val="titlerazdel"/>
          <w:sz w:val="26"/>
          <w:szCs w:val="26"/>
        </w:rPr>
        <w:t xml:space="preserve">рассмотрения РСТ Югры обращений граждан в части роста платы за коммунальные услуги, </w:t>
      </w:r>
      <w:r w:rsidRPr="00471874">
        <w:rPr>
          <w:rStyle w:val="titlerazdel"/>
          <w:sz w:val="26"/>
          <w:szCs w:val="26"/>
        </w:rPr>
        <w:t>по результатам</w:t>
      </w:r>
      <w:r>
        <w:rPr>
          <w:rStyle w:val="titlerazdel"/>
          <w:sz w:val="26"/>
          <w:szCs w:val="26"/>
        </w:rPr>
        <w:t xml:space="preserve"> рассмотрения</w:t>
      </w:r>
      <w:r w:rsidRPr="00471874">
        <w:rPr>
          <w:rStyle w:val="titlerazdel"/>
          <w:sz w:val="26"/>
          <w:szCs w:val="26"/>
        </w:rPr>
        <w:t>, фактов превышения предельных (максимальных) индексов изменения размера вносимой гражданами платы за коммунальные услуги не выявлено</w:t>
      </w:r>
      <w:r w:rsidRPr="00F605A9">
        <w:rPr>
          <w:rStyle w:val="titlerazdel"/>
          <w:sz w:val="26"/>
          <w:szCs w:val="26"/>
        </w:rPr>
        <w:t xml:space="preserve"> </w:t>
      </w:r>
      <w:r w:rsidRPr="006B0DD9">
        <w:rPr>
          <w:rStyle w:val="titlerazdel"/>
          <w:sz w:val="26"/>
          <w:szCs w:val="26"/>
        </w:rPr>
        <w:t xml:space="preserve">(с января по </w:t>
      </w:r>
      <w:r>
        <w:rPr>
          <w:rStyle w:val="titlerazdel"/>
          <w:sz w:val="26"/>
          <w:szCs w:val="26"/>
        </w:rPr>
        <w:t>июнь 2021</w:t>
      </w:r>
      <w:r w:rsidR="007A4EEA">
        <w:rPr>
          <w:rStyle w:val="titlerazdel"/>
          <w:sz w:val="26"/>
          <w:szCs w:val="26"/>
        </w:rPr>
        <w:t xml:space="preserve"> </w:t>
      </w:r>
      <w:r w:rsidR="007A4EEA" w:rsidRPr="00A30482">
        <w:rPr>
          <w:rStyle w:val="titlerazdel"/>
          <w:sz w:val="26"/>
          <w:szCs w:val="26"/>
        </w:rPr>
        <w:t>года рассмотрено 89</w:t>
      </w:r>
      <w:r w:rsidRPr="00A30482">
        <w:rPr>
          <w:rStyle w:val="titlerazdel"/>
          <w:sz w:val="26"/>
          <w:szCs w:val="26"/>
        </w:rPr>
        <w:t xml:space="preserve"> обращени</w:t>
      </w:r>
      <w:r w:rsidR="007A4EEA" w:rsidRPr="00A30482">
        <w:rPr>
          <w:rStyle w:val="titlerazdel"/>
          <w:sz w:val="26"/>
          <w:szCs w:val="26"/>
        </w:rPr>
        <w:t>й</w:t>
      </w:r>
      <w:r w:rsidRPr="006B0DD9">
        <w:rPr>
          <w:rStyle w:val="titlerazdel"/>
          <w:sz w:val="26"/>
          <w:szCs w:val="26"/>
        </w:rPr>
        <w:t xml:space="preserve"> граждан, в том</w:t>
      </w:r>
      <w:r w:rsidRPr="00471874">
        <w:rPr>
          <w:rStyle w:val="titlerazdel"/>
          <w:sz w:val="26"/>
          <w:szCs w:val="26"/>
        </w:rPr>
        <w:t xml:space="preserve"> числе касающихся коммунальных услуг</w:t>
      </w:r>
      <w:r>
        <w:rPr>
          <w:rStyle w:val="titlerazdel"/>
          <w:sz w:val="26"/>
          <w:szCs w:val="26"/>
        </w:rPr>
        <w:t>);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 w:rsidR="00F8005C">
        <w:rPr>
          <w:rStyle w:val="titlerazdel"/>
          <w:sz w:val="26"/>
          <w:szCs w:val="26"/>
        </w:rPr>
        <w:t>г</w:t>
      </w:r>
      <w:r>
        <w:rPr>
          <w:rStyle w:val="titlerazdel"/>
          <w:sz w:val="26"/>
          <w:szCs w:val="26"/>
        </w:rPr>
        <w:t xml:space="preserve">лав и исполнительных 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>
        <w:rPr>
          <w:rStyle w:val="titlerazdel"/>
          <w:sz w:val="26"/>
          <w:szCs w:val="26"/>
        </w:rPr>
        <w:t xml:space="preserve">, в том числе </w:t>
      </w:r>
      <w:r w:rsidRPr="00471874">
        <w:rPr>
          <w:rStyle w:val="titlerazdel"/>
          <w:sz w:val="26"/>
          <w:szCs w:val="26"/>
        </w:rPr>
        <w:t xml:space="preserve"> </w:t>
      </w:r>
      <w:r w:rsidRPr="00E653E8">
        <w:rPr>
          <w:rStyle w:val="titlerazdel"/>
          <w:sz w:val="26"/>
          <w:szCs w:val="26"/>
        </w:rPr>
        <w:t>муниципальных образований</w:t>
      </w:r>
      <w:r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</w:t>
      </w:r>
      <w:r w:rsidRPr="00471874">
        <w:rPr>
          <w:rStyle w:val="titlerazdel"/>
          <w:sz w:val="26"/>
          <w:szCs w:val="26"/>
        </w:rPr>
        <w:lastRenderedPageBreak/>
        <w:t xml:space="preserve">касающиеся обслуживания жилищного фонда, в Ханты-Мансийском автономном округе </w:t>
      </w:r>
      <w:r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 на 202</w:t>
      </w:r>
      <w:r>
        <w:rPr>
          <w:rStyle w:val="titlerazdel"/>
          <w:sz w:val="26"/>
          <w:szCs w:val="26"/>
        </w:rPr>
        <w:t>1</w:t>
      </w:r>
      <w:r w:rsidRPr="00471874">
        <w:rPr>
          <w:rStyle w:val="titlerazdel"/>
          <w:sz w:val="26"/>
          <w:szCs w:val="26"/>
        </w:rPr>
        <w:t xml:space="preserve"> год.</w:t>
      </w:r>
    </w:p>
    <w:p w:rsidR="005C65BD" w:rsidRPr="001860B8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</w:t>
      </w:r>
      <w:r>
        <w:rPr>
          <w:rStyle w:val="titlerazdel"/>
          <w:sz w:val="26"/>
          <w:szCs w:val="26"/>
        </w:rPr>
        <w:t>,</w:t>
      </w:r>
      <w:r w:rsidRPr="001860B8">
        <w:rPr>
          <w:rStyle w:val="titlerazdel"/>
          <w:sz w:val="26"/>
          <w:szCs w:val="26"/>
        </w:rPr>
        <w:t xml:space="preserve"> и влечет за собой наказание в виде административного штрафа.</w:t>
      </w:r>
    </w:p>
    <w:p w:rsidR="005C65BD" w:rsidRDefault="005C65BD" w:rsidP="00DB5A2F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530C9B">
        <w:rPr>
          <w:sz w:val="26"/>
          <w:szCs w:val="26"/>
        </w:rPr>
        <w:t>распоряжени</w:t>
      </w:r>
      <w:r>
        <w:rPr>
          <w:sz w:val="26"/>
          <w:szCs w:val="26"/>
        </w:rPr>
        <w:t>е</w:t>
      </w:r>
      <w:r w:rsidRPr="00530C9B">
        <w:rPr>
          <w:sz w:val="26"/>
          <w:szCs w:val="26"/>
        </w:rPr>
        <w:t xml:space="preserve"> Правительства Ханты-Мансийского автономного округа – Югры от 04.12.2020 № 713-рп </w:t>
      </w:r>
      <w:r w:rsidR="00F8005C">
        <w:rPr>
          <w:sz w:val="26"/>
          <w:szCs w:val="26"/>
        </w:rPr>
        <w:t xml:space="preserve">                                </w:t>
      </w:r>
      <w:r w:rsidRPr="00530C9B">
        <w:rPr>
          <w:sz w:val="26"/>
          <w:szCs w:val="26"/>
        </w:rPr>
        <w:t xml:space="preserve">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</w:t>
      </w:r>
      <w:r w:rsidR="004B0E30">
        <w:rPr>
          <w:sz w:val="26"/>
          <w:szCs w:val="26"/>
        </w:rPr>
        <w:t xml:space="preserve">                  </w:t>
      </w:r>
      <w:r w:rsidRPr="00530C9B">
        <w:rPr>
          <w:sz w:val="26"/>
          <w:szCs w:val="26"/>
        </w:rPr>
        <w:t>округе – Югре на 2021 год»</w:t>
      </w:r>
      <w:r>
        <w:rPr>
          <w:sz w:val="26"/>
          <w:szCs w:val="26"/>
        </w:rPr>
        <w:t xml:space="preserve"> </w:t>
      </w:r>
      <w:r>
        <w:rPr>
          <w:rStyle w:val="titlerazdel"/>
          <w:sz w:val="26"/>
          <w:szCs w:val="26"/>
        </w:rPr>
        <w:t>(</w:t>
      </w:r>
      <w:hyperlink r:id="rId12" w:history="1">
        <w:r w:rsidRPr="000408BB">
          <w:rPr>
            <w:rStyle w:val="a5"/>
            <w:sz w:val="26"/>
            <w:szCs w:val="26"/>
          </w:rPr>
          <w:t>https://rst.admhmao.ru/dokumenty/zakonodatelstvo/zakonodatelstvo-reguliruyushchee-obshchie-voprosy-tsenovoy-politiki/</w:t>
        </w:r>
      </w:hyperlink>
      <w:r>
        <w:rPr>
          <w:rStyle w:val="titlerazdel"/>
          <w:sz w:val="26"/>
          <w:szCs w:val="26"/>
        </w:rPr>
        <w:t>)</w:t>
      </w:r>
      <w:r w:rsidRPr="009F1D47">
        <w:rPr>
          <w:rStyle w:val="titlerazdel"/>
          <w:sz w:val="26"/>
          <w:szCs w:val="26"/>
        </w:rPr>
        <w:t>, 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</w:t>
      </w:r>
      <w:r>
        <w:rPr>
          <w:rStyle w:val="titlerazdel"/>
          <w:sz w:val="26"/>
          <w:szCs w:val="26"/>
        </w:rPr>
        <w:t>1</w:t>
      </w:r>
      <w:r w:rsidRPr="009F1D47">
        <w:rPr>
          <w:rStyle w:val="titlerazdel"/>
          <w:sz w:val="26"/>
          <w:szCs w:val="26"/>
        </w:rPr>
        <w:t xml:space="preserve"> год</w:t>
      </w:r>
      <w:r w:rsidR="004B0E30">
        <w:rPr>
          <w:rStyle w:val="titlerazdel"/>
          <w:sz w:val="26"/>
          <w:szCs w:val="26"/>
        </w:rPr>
        <w:t xml:space="preserve">                   </w:t>
      </w:r>
      <w:r w:rsidRPr="009F1D47">
        <w:rPr>
          <w:rStyle w:val="titlerazdel"/>
          <w:sz w:val="26"/>
          <w:szCs w:val="26"/>
        </w:rPr>
        <w:t xml:space="preserve"> (далее – план).</w:t>
      </w:r>
    </w:p>
    <w:p w:rsidR="005C65BD" w:rsidRPr="00471874" w:rsidRDefault="005C65BD" w:rsidP="005C65B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Pr="00471874">
        <w:rPr>
          <w:rStyle w:val="titlerazdel"/>
          <w:sz w:val="26"/>
          <w:szCs w:val="26"/>
        </w:rPr>
        <w:t xml:space="preserve"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</w:t>
      </w:r>
      <w:r w:rsidR="00F8005C">
        <w:rPr>
          <w:rStyle w:val="titlerazdel"/>
          <w:sz w:val="26"/>
          <w:szCs w:val="26"/>
        </w:rPr>
        <w:t xml:space="preserve">                            </w:t>
      </w:r>
      <w:r w:rsidRPr="00471874">
        <w:rPr>
          <w:rStyle w:val="titlerazdel"/>
          <w:sz w:val="26"/>
          <w:szCs w:val="26"/>
        </w:rPr>
        <w:t>«Для граждан», подразделе «Плата граждан за коммунальные услуги», блоке «Мониторинг изменения платы граждан за коммунальные услуги»</w:t>
      </w:r>
      <w:r>
        <w:rPr>
          <w:rStyle w:val="titlerazdel"/>
          <w:sz w:val="26"/>
          <w:szCs w:val="26"/>
        </w:rPr>
        <w:t xml:space="preserve"> (</w:t>
      </w:r>
      <w:hyperlink r:id="rId13" w:history="1">
        <w:r w:rsidRPr="002B2E01">
          <w:rPr>
            <w:rStyle w:val="a5"/>
            <w:sz w:val="26"/>
            <w:szCs w:val="26"/>
          </w:rPr>
          <w:t>https://rst.admhmao.ru/dlya-grazhdan/</w:t>
        </w:r>
      </w:hyperlink>
      <w:r>
        <w:rPr>
          <w:rStyle w:val="titlerazdel"/>
          <w:sz w:val="26"/>
          <w:szCs w:val="26"/>
        </w:rPr>
        <w:t>).</w:t>
      </w:r>
    </w:p>
    <w:p w:rsidR="005C65BD" w:rsidRDefault="005C65BD" w:rsidP="005C65BD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Согласно представленной муниципальными образованиями информации с ян</w:t>
      </w:r>
      <w:r>
        <w:rPr>
          <w:rStyle w:val="titlerazdel"/>
          <w:sz w:val="26"/>
          <w:szCs w:val="26"/>
        </w:rPr>
        <w:t>варя по июнь</w:t>
      </w:r>
      <w:r w:rsidRPr="00471874">
        <w:rPr>
          <w:rStyle w:val="titlerazdel"/>
          <w:sz w:val="26"/>
          <w:szCs w:val="26"/>
        </w:rPr>
        <w:t xml:space="preserve"> (включительно) текущего года превышения предельных (максимальных) индексов изменения размера вносимой гражданами платы за коммунальные услуги, установленных на 20</w:t>
      </w:r>
      <w:r>
        <w:rPr>
          <w:rStyle w:val="titlerazdel"/>
          <w:sz w:val="26"/>
          <w:szCs w:val="26"/>
        </w:rPr>
        <w:t>21 год П</w:t>
      </w:r>
      <w:r w:rsidRPr="00471874">
        <w:rPr>
          <w:rStyle w:val="titlerazdel"/>
          <w:sz w:val="26"/>
          <w:szCs w:val="26"/>
        </w:rPr>
        <w:t xml:space="preserve">остановлением </w:t>
      </w:r>
      <w:r>
        <w:rPr>
          <w:rStyle w:val="titlerazdel"/>
          <w:sz w:val="26"/>
          <w:szCs w:val="26"/>
        </w:rPr>
        <w:t>Губернатора Югры</w:t>
      </w:r>
      <w:r w:rsidRPr="00471874">
        <w:rPr>
          <w:rStyle w:val="titlerazdel"/>
          <w:sz w:val="26"/>
          <w:szCs w:val="26"/>
        </w:rPr>
        <w:t>, не выявлено.</w:t>
      </w:r>
    </w:p>
    <w:p w:rsidR="005C65BD" w:rsidRPr="00933930" w:rsidRDefault="005C65BD" w:rsidP="005C65BD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на официальном сайте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 xml:space="preserve">установленным ограничениям </w:t>
      </w:r>
      <w:r>
        <w:rPr>
          <w:rFonts w:eastAsia="Calibri"/>
          <w:sz w:val="26"/>
          <w:szCs w:val="26"/>
        </w:rPr>
        <w:t>(</w:t>
      </w:r>
      <w:hyperlink r:id="rId14" w:history="1">
        <w:r w:rsidRPr="00693283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p w:rsidR="005C65BD" w:rsidRDefault="005C65BD" w:rsidP="005C65BD">
      <w:pPr>
        <w:pStyle w:val="a9"/>
        <w:tabs>
          <w:tab w:val="left" w:pos="8931"/>
        </w:tabs>
        <w:rPr>
          <w:sz w:val="28"/>
          <w:szCs w:val="28"/>
        </w:rPr>
      </w:pPr>
      <w:bookmarkStart w:id="0" w:name="_GoBack"/>
      <w:bookmarkEnd w:id="0"/>
    </w:p>
    <w:sectPr w:rsidR="005C65BD" w:rsidSect="002D326E">
      <w:headerReference w:type="first" r:id="rId15"/>
      <w:footerReference w:type="first" r:id="rId16"/>
      <w:pgSz w:w="11906" w:h="16838"/>
      <w:pgMar w:top="1276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30" w:rsidRDefault="00AB3830" w:rsidP="008D36FA">
      <w:r>
        <w:separator/>
      </w:r>
    </w:p>
  </w:endnote>
  <w:endnote w:type="continuationSeparator" w:id="0">
    <w:p w:rsidR="00AB3830" w:rsidRDefault="00AB3830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5C" w:rsidRDefault="00F8005C">
    <w:pPr>
      <w:pStyle w:val="ac"/>
      <w:jc w:val="center"/>
    </w:pPr>
  </w:p>
  <w:p w:rsidR="00F8005C" w:rsidRDefault="00F800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30" w:rsidRDefault="00AB3830" w:rsidP="008D36FA">
      <w:r>
        <w:separator/>
      </w:r>
    </w:p>
  </w:footnote>
  <w:footnote w:type="continuationSeparator" w:id="0">
    <w:p w:rsidR="00AB3830" w:rsidRDefault="00AB3830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5C" w:rsidRDefault="00F8005C">
    <w:pPr>
      <w:pStyle w:val="aa"/>
      <w:jc w:val="center"/>
    </w:pPr>
  </w:p>
  <w:p w:rsidR="00F8005C" w:rsidRDefault="00F800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A776F"/>
    <w:rsid w:val="000F32C7"/>
    <w:rsid w:val="000F4A53"/>
    <w:rsid w:val="0010392B"/>
    <w:rsid w:val="001268CB"/>
    <w:rsid w:val="0014479A"/>
    <w:rsid w:val="00173996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C39CE"/>
    <w:rsid w:val="002D326E"/>
    <w:rsid w:val="002E25B2"/>
    <w:rsid w:val="002F1452"/>
    <w:rsid w:val="002F5F7F"/>
    <w:rsid w:val="00312190"/>
    <w:rsid w:val="00346BCA"/>
    <w:rsid w:val="00357933"/>
    <w:rsid w:val="003757DD"/>
    <w:rsid w:val="00382B6A"/>
    <w:rsid w:val="00383F0C"/>
    <w:rsid w:val="0039212D"/>
    <w:rsid w:val="003C2B44"/>
    <w:rsid w:val="003C38FB"/>
    <w:rsid w:val="00440EF8"/>
    <w:rsid w:val="00457B7E"/>
    <w:rsid w:val="00476F2E"/>
    <w:rsid w:val="00484958"/>
    <w:rsid w:val="00486D5D"/>
    <w:rsid w:val="00487BF6"/>
    <w:rsid w:val="004B0E30"/>
    <w:rsid w:val="004C5A21"/>
    <w:rsid w:val="005025FD"/>
    <w:rsid w:val="00512812"/>
    <w:rsid w:val="00523CBD"/>
    <w:rsid w:val="005416AF"/>
    <w:rsid w:val="0056222D"/>
    <w:rsid w:val="0056235D"/>
    <w:rsid w:val="005708F2"/>
    <w:rsid w:val="005843CA"/>
    <w:rsid w:val="00586B53"/>
    <w:rsid w:val="00596F1B"/>
    <w:rsid w:val="005A31E8"/>
    <w:rsid w:val="005A4FDF"/>
    <w:rsid w:val="005A7DF2"/>
    <w:rsid w:val="005B041E"/>
    <w:rsid w:val="005C44FD"/>
    <w:rsid w:val="005C65BD"/>
    <w:rsid w:val="005D066E"/>
    <w:rsid w:val="005F3CDF"/>
    <w:rsid w:val="006132ED"/>
    <w:rsid w:val="0061561A"/>
    <w:rsid w:val="00616B91"/>
    <w:rsid w:val="006212B2"/>
    <w:rsid w:val="006363BE"/>
    <w:rsid w:val="0063696B"/>
    <w:rsid w:val="00675539"/>
    <w:rsid w:val="006915D3"/>
    <w:rsid w:val="00691764"/>
    <w:rsid w:val="00694520"/>
    <w:rsid w:val="00694EB2"/>
    <w:rsid w:val="006B19A4"/>
    <w:rsid w:val="006E3A22"/>
    <w:rsid w:val="007028C6"/>
    <w:rsid w:val="007070ED"/>
    <w:rsid w:val="0071386B"/>
    <w:rsid w:val="00714210"/>
    <w:rsid w:val="00716206"/>
    <w:rsid w:val="00717544"/>
    <w:rsid w:val="007234F3"/>
    <w:rsid w:val="00723C3A"/>
    <w:rsid w:val="00723C6C"/>
    <w:rsid w:val="007300EF"/>
    <w:rsid w:val="007335FB"/>
    <w:rsid w:val="00745BB6"/>
    <w:rsid w:val="00751DB8"/>
    <w:rsid w:val="007653B9"/>
    <w:rsid w:val="00797472"/>
    <w:rsid w:val="00797F50"/>
    <w:rsid w:val="007A337F"/>
    <w:rsid w:val="007A4EEA"/>
    <w:rsid w:val="007C6326"/>
    <w:rsid w:val="007E5D6A"/>
    <w:rsid w:val="007F1881"/>
    <w:rsid w:val="0081544D"/>
    <w:rsid w:val="008325DF"/>
    <w:rsid w:val="00860328"/>
    <w:rsid w:val="008609FC"/>
    <w:rsid w:val="008709C2"/>
    <w:rsid w:val="008744DB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4B3"/>
    <w:rsid w:val="008E5B3C"/>
    <w:rsid w:val="008F3B39"/>
    <w:rsid w:val="00914EF1"/>
    <w:rsid w:val="0093719A"/>
    <w:rsid w:val="00951EDB"/>
    <w:rsid w:val="00954846"/>
    <w:rsid w:val="0096290D"/>
    <w:rsid w:val="0097009D"/>
    <w:rsid w:val="00970566"/>
    <w:rsid w:val="0099028F"/>
    <w:rsid w:val="00995916"/>
    <w:rsid w:val="009B53DC"/>
    <w:rsid w:val="009E4EC5"/>
    <w:rsid w:val="009E5E8E"/>
    <w:rsid w:val="00A26C03"/>
    <w:rsid w:val="00A30482"/>
    <w:rsid w:val="00A32D5B"/>
    <w:rsid w:val="00A61926"/>
    <w:rsid w:val="00A6511D"/>
    <w:rsid w:val="00AA567F"/>
    <w:rsid w:val="00AB3830"/>
    <w:rsid w:val="00AB5524"/>
    <w:rsid w:val="00AB6A56"/>
    <w:rsid w:val="00AC3541"/>
    <w:rsid w:val="00AC7F4D"/>
    <w:rsid w:val="00AD0F20"/>
    <w:rsid w:val="00AD4029"/>
    <w:rsid w:val="00AE0B94"/>
    <w:rsid w:val="00AF0F45"/>
    <w:rsid w:val="00B31AE5"/>
    <w:rsid w:val="00B42871"/>
    <w:rsid w:val="00B45F7C"/>
    <w:rsid w:val="00B46BD4"/>
    <w:rsid w:val="00B5383E"/>
    <w:rsid w:val="00B544E3"/>
    <w:rsid w:val="00B71470"/>
    <w:rsid w:val="00B71BD0"/>
    <w:rsid w:val="00B7735D"/>
    <w:rsid w:val="00B9544D"/>
    <w:rsid w:val="00B95F01"/>
    <w:rsid w:val="00BB1E54"/>
    <w:rsid w:val="00BC3063"/>
    <w:rsid w:val="00BC35FF"/>
    <w:rsid w:val="00BC4D2F"/>
    <w:rsid w:val="00BD56C2"/>
    <w:rsid w:val="00BD5C84"/>
    <w:rsid w:val="00BD7795"/>
    <w:rsid w:val="00BE0EF5"/>
    <w:rsid w:val="00BE3906"/>
    <w:rsid w:val="00C0631A"/>
    <w:rsid w:val="00C15323"/>
    <w:rsid w:val="00C266E5"/>
    <w:rsid w:val="00C32836"/>
    <w:rsid w:val="00C544F3"/>
    <w:rsid w:val="00C632D1"/>
    <w:rsid w:val="00C741CA"/>
    <w:rsid w:val="00C767AA"/>
    <w:rsid w:val="00C847AB"/>
    <w:rsid w:val="00C96E59"/>
    <w:rsid w:val="00C97696"/>
    <w:rsid w:val="00CA74E2"/>
    <w:rsid w:val="00CB3F87"/>
    <w:rsid w:val="00CC2872"/>
    <w:rsid w:val="00CE0D6F"/>
    <w:rsid w:val="00CE22BE"/>
    <w:rsid w:val="00D124D5"/>
    <w:rsid w:val="00D174DB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B5A2F"/>
    <w:rsid w:val="00DC4C25"/>
    <w:rsid w:val="00DE1BDA"/>
    <w:rsid w:val="00DE2A20"/>
    <w:rsid w:val="00DF6D2A"/>
    <w:rsid w:val="00E23937"/>
    <w:rsid w:val="00E278C7"/>
    <w:rsid w:val="00E32082"/>
    <w:rsid w:val="00E453F6"/>
    <w:rsid w:val="00E617E5"/>
    <w:rsid w:val="00E82F33"/>
    <w:rsid w:val="00EA113E"/>
    <w:rsid w:val="00EB0188"/>
    <w:rsid w:val="00ED7A17"/>
    <w:rsid w:val="00EE2DF7"/>
    <w:rsid w:val="00EE4786"/>
    <w:rsid w:val="00F06C54"/>
    <w:rsid w:val="00F1026D"/>
    <w:rsid w:val="00F1138A"/>
    <w:rsid w:val="00F12950"/>
    <w:rsid w:val="00F135CD"/>
    <w:rsid w:val="00F1582B"/>
    <w:rsid w:val="00F31AA2"/>
    <w:rsid w:val="00F321B1"/>
    <w:rsid w:val="00F35333"/>
    <w:rsid w:val="00F46098"/>
    <w:rsid w:val="00F56B3E"/>
    <w:rsid w:val="00F8005C"/>
    <w:rsid w:val="00F80D22"/>
    <w:rsid w:val="00F858F5"/>
    <w:rsid w:val="00FA4500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A939DC-A670-436A-8F38-BA61B321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81544D"/>
  </w:style>
  <w:style w:type="character" w:styleId="ae">
    <w:name w:val="Emphasis"/>
    <w:uiPriority w:val="20"/>
    <w:qFormat/>
    <w:rsid w:val="00815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rst.admhmao.ru/dlya-grazhda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t.admhmao.ru/dokumenty/zakonodatelstvo/zakonodatelstvo-reguliruyushchee-obshchie-voprosy-tsenovoy-politik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hmao.ru/pub-exp-do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epjkke.admhmao.ru/dokumenty/prik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raskrytie-informatsii/" TargetMode="External"/><Relationship Id="rId14" Type="http://schemas.openxmlformats.org/officeDocument/2006/relationships/hyperlink" Target="http://eias.fas.gov.ru/calc_ku/m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BB0F-D3DE-422B-829B-98915423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7184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Жеребцова Мария Юрьевна</cp:lastModifiedBy>
  <cp:revision>4</cp:revision>
  <cp:lastPrinted>2021-07-09T07:07:00Z</cp:lastPrinted>
  <dcterms:created xsi:type="dcterms:W3CDTF">2021-07-13T04:50:00Z</dcterms:created>
  <dcterms:modified xsi:type="dcterms:W3CDTF">2021-07-13T05:01:00Z</dcterms:modified>
</cp:coreProperties>
</file>